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DB1C" w14:textId="6D6252ED" w:rsidR="00A40075" w:rsidRDefault="00A40075" w:rsidP="00BA09E6">
      <w:pPr>
        <w:pBdr>
          <w:bottom w:val="single" w:sz="4" w:space="1" w:color="auto"/>
        </w:pBdr>
        <w:rPr>
          <w:b/>
          <w:bCs/>
          <w:sz w:val="28"/>
          <w:szCs w:val="28"/>
        </w:rPr>
      </w:pPr>
      <w:r>
        <w:rPr>
          <w:b/>
          <w:bCs/>
          <w:sz w:val="28"/>
          <w:szCs w:val="28"/>
        </w:rPr>
        <w:t>Collections – bilan 202</w:t>
      </w:r>
      <w:r w:rsidR="00062F27">
        <w:rPr>
          <w:b/>
          <w:bCs/>
          <w:sz w:val="28"/>
          <w:szCs w:val="28"/>
        </w:rPr>
        <w:t>5</w:t>
      </w:r>
      <w:r>
        <w:rPr>
          <w:b/>
          <w:bCs/>
          <w:sz w:val="28"/>
          <w:szCs w:val="28"/>
        </w:rPr>
        <w:t xml:space="preserve"> et prospectives 202</w:t>
      </w:r>
      <w:r w:rsidR="00062F27">
        <w:rPr>
          <w:b/>
          <w:bCs/>
          <w:sz w:val="28"/>
          <w:szCs w:val="28"/>
        </w:rPr>
        <w:t>6</w:t>
      </w:r>
    </w:p>
    <w:p w14:paraId="1DED3CD5" w14:textId="77777777" w:rsidR="00A40075" w:rsidRDefault="00A40075" w:rsidP="00BA09E6">
      <w:pPr>
        <w:rPr>
          <w:b/>
          <w:bCs/>
          <w:sz w:val="28"/>
          <w:szCs w:val="28"/>
        </w:rPr>
      </w:pPr>
    </w:p>
    <w:p w14:paraId="1869D3AC" w14:textId="63FA8C82" w:rsidR="00B107B7" w:rsidRPr="00CA58A6" w:rsidRDefault="00FD6E33" w:rsidP="00BA09E6">
      <w:pPr>
        <w:rPr>
          <w:b/>
          <w:bCs/>
          <w:sz w:val="28"/>
          <w:szCs w:val="28"/>
        </w:rPr>
      </w:pPr>
      <w:r w:rsidRPr="00CA58A6">
        <w:rPr>
          <w:b/>
          <w:bCs/>
          <w:sz w:val="28"/>
          <w:szCs w:val="28"/>
        </w:rPr>
        <w:t>Statistiques globales</w:t>
      </w:r>
    </w:p>
    <w:p w14:paraId="46950E9C" w14:textId="08648D69" w:rsidR="002A03A2" w:rsidRPr="002A03A2" w:rsidRDefault="002A03A2" w:rsidP="00BA09E6">
      <w:pPr>
        <w:jc w:val="both"/>
        <w:rPr>
          <w:b/>
          <w:bCs/>
          <w:u w:val="single"/>
        </w:rPr>
      </w:pPr>
      <w:r w:rsidRPr="002A03A2">
        <w:rPr>
          <w:b/>
          <w:bCs/>
          <w:u w:val="single"/>
        </w:rPr>
        <w:t>Impact de la diminution des acquisitions</w:t>
      </w:r>
    </w:p>
    <w:p w14:paraId="563D8F72" w14:textId="2D55907E" w:rsidR="00062F27" w:rsidRDefault="00062F27" w:rsidP="00BA09E6">
      <w:pPr>
        <w:jc w:val="both"/>
      </w:pPr>
      <w:r>
        <w:t xml:space="preserve">L’année 2025 a été marquée par une diminution importante du budget d’acquisitions de la BDLA qui est passé </w:t>
      </w:r>
      <w:r w:rsidR="00CE0025">
        <w:t>de 205.000€ en 2024 à 152.500€ en 2025 (157.600€ après virements de fin d’année). C’est donc une diminution de près d’un quart.</w:t>
      </w:r>
    </w:p>
    <w:p w14:paraId="44AE44CD" w14:textId="77777777" w:rsidR="005D1A3A" w:rsidRDefault="00CE0025" w:rsidP="00BA09E6">
      <w:pPr>
        <w:jc w:val="both"/>
      </w:pPr>
      <w:r>
        <w:t xml:space="preserve">Ce n’est cependant pas la première fois que les acquisitions diminuent (à titre de comparaison, le budget était de 341.000€ en 2015. Nos acquisitions ont été divisées par plus de deux depuis. Pour autant, cela n’a jusqu’à présent pas eu d’impact négatif sur la qualité de nos collections ni sur l’adéquation de notre offre aux demandes du réseau, car dans le même temps le nombre de documents en prêt dans les bibliothèques du réseau ne cesse de diminuer de même que les collections de la BDLA elles-mêmes. C’est encore le cas en 2025 : le nombre de documents en prêt est passé de 139.000 à 132.000 (-6200) et les collections de la BDLA sont passées de </w:t>
      </w:r>
      <w:r w:rsidR="005D1A3A">
        <w:t>188.000 à 178.000 (-10.000).</w:t>
      </w:r>
    </w:p>
    <w:p w14:paraId="7C1B4FF3" w14:textId="35D978F8" w:rsidR="00CE0025" w:rsidRDefault="005D1A3A" w:rsidP="00BA09E6">
      <w:pPr>
        <w:jc w:val="both"/>
      </w:pPr>
      <w:r>
        <w:t xml:space="preserve">Il résulte de cette double diminution (nos collections et nos acquisitions) une grande stabilité de l’âge réel et théorique des collections. Ainsi l’âge réel était à 7,5 en 2020 et 7,6 en 2025. L’âge théorique (ratio entre nos collections et nos acquisitions) oscillait entre </w:t>
      </w:r>
      <w:r w:rsidR="00CE0025">
        <w:t xml:space="preserve"> </w:t>
      </w:r>
      <w:r>
        <w:t>7,5 et 8,3 valeurs proches de l’âge réel.</w:t>
      </w:r>
    </w:p>
    <w:p w14:paraId="43EEAAF9" w14:textId="3F8310CF" w:rsidR="005D1A3A" w:rsidRDefault="005D1A3A" w:rsidP="00BA09E6">
      <w:pPr>
        <w:jc w:val="both"/>
      </w:pPr>
      <w:r>
        <w:t>Cependant, en 2025, la diminution des acquisitions a changé la donne puisque l’âge théorique est soudainement passé de 7,5 à 9 ans. L’âge réel lui n’est pas encore trop impacté (7,6), mais il faut plusieurs années avant que la baisse des acquisitions se traduise concrètement dans les collections.</w:t>
      </w:r>
    </w:p>
    <w:p w14:paraId="5CE9DDBC" w14:textId="24C1D1DE" w:rsidR="005D1A3A" w:rsidRDefault="005D1A3A" w:rsidP="00BA09E6">
      <w:pPr>
        <w:jc w:val="both"/>
      </w:pPr>
      <w:r>
        <w:rPr>
          <w:noProof/>
        </w:rPr>
        <w:drawing>
          <wp:inline distT="0" distB="0" distL="0" distR="0" wp14:anchorId="3A9CEABF" wp14:editId="30E66499">
            <wp:extent cx="5133975" cy="3519488"/>
            <wp:effectExtent l="0" t="0" r="9525" b="5080"/>
            <wp:docPr id="654753537" name="Graphique 1">
              <a:extLst xmlns:a="http://schemas.openxmlformats.org/drawingml/2006/main">
                <a:ext uri="{FF2B5EF4-FFF2-40B4-BE49-F238E27FC236}">
                  <a16:creationId xmlns:a16="http://schemas.microsoft.com/office/drawing/2014/main" id="{23B7D409-4376-A095-22DF-8B8029C74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D03B54" w14:textId="37A7494A" w:rsidR="005D1A3A" w:rsidRDefault="005D1A3A" w:rsidP="00BA09E6">
      <w:pPr>
        <w:jc w:val="both"/>
      </w:pPr>
      <w:r>
        <w:t xml:space="preserve">Cela veut-il dire que les collections de la BDLA sont amenées à vieillir et se détériorer dans les années à venir ? Pas forcément ! Les acquisitions de 2025 (9965 documents) seraient cohérentes avec des collections d’environ 150.000 documents (si on veut maintenir un âge des collections autour de 7,5 </w:t>
      </w:r>
      <w:r>
        <w:lastRenderedPageBreak/>
        <w:t>ans</w:t>
      </w:r>
      <w:r w:rsidR="003B467F">
        <w:t>)</w:t>
      </w:r>
      <w:r>
        <w:t>. Or depuis plusieurs années, comme on l’a vu, ces dernières diminuent en moyenne de 8.000 par an. Si on conserve ce rythme, nos collections devraient atteindre 150.000 documents</w:t>
      </w:r>
      <w:r w:rsidR="00AE45F3">
        <w:t xml:space="preserve"> d’ici environ 3 ans. On aurait donc une augmentation légère et supportable de </w:t>
      </w:r>
      <w:r w:rsidR="002A03A2">
        <w:t xml:space="preserve">l’âge de </w:t>
      </w:r>
      <w:r w:rsidR="00AE45F3">
        <w:t>nos collections avant une stabilisation.</w:t>
      </w:r>
    </w:p>
    <w:p w14:paraId="184B890F" w14:textId="24D5BB60" w:rsidR="005D1A3A" w:rsidRDefault="005D1A3A" w:rsidP="00BA09E6">
      <w:pPr>
        <w:jc w:val="both"/>
      </w:pPr>
      <w:r>
        <w:rPr>
          <w:noProof/>
        </w:rPr>
        <w:drawing>
          <wp:inline distT="0" distB="0" distL="0" distR="0" wp14:anchorId="36820AD2" wp14:editId="4FF75F0D">
            <wp:extent cx="5760720" cy="3075940"/>
            <wp:effectExtent l="0" t="0" r="11430" b="10160"/>
            <wp:docPr id="286274852" name="Graphique 1">
              <a:extLst xmlns:a="http://schemas.openxmlformats.org/drawingml/2006/main">
                <a:ext uri="{FF2B5EF4-FFF2-40B4-BE49-F238E27FC236}">
                  <a16:creationId xmlns:a16="http://schemas.microsoft.com/office/drawing/2014/main" id="{41AEF2BF-FFA1-C962-602F-3017751C8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5DFAD0D" w14:textId="46E75988" w:rsidR="005D1A3A" w:rsidRDefault="00AE45F3" w:rsidP="00BA09E6">
      <w:pPr>
        <w:jc w:val="both"/>
      </w:pPr>
      <w:r>
        <w:t>Mais il faut garder à l’esprit que nous ne contrôlons pas la diminution des collections de la BDLA. Elle est une résultante de la différence entre le nombre de prêts et de retours (nos bibliothèques nous rendent plus de documents qu’elles n’en empruntent), ce qui résulte vraisemblablement du fait qu’elles ont de moins en moins besoin de nos collections (ce qui est une bonne chose).</w:t>
      </w:r>
      <w:r w:rsidR="001B4AA0">
        <w:t xml:space="preserve"> Si cette tendance se poursuit dans les années à venir, alors la forte diminution des acquisitions observé</w:t>
      </w:r>
      <w:r w:rsidR="00AB5788">
        <w:t>e</w:t>
      </w:r>
      <w:r w:rsidR="001B4AA0">
        <w:t xml:space="preserve"> en 2025 (et qui ne sera probablement pas compensée plus tard) pourra être absorbée sans trop de difficultés. Si en revanche, pour une raison ou pour une autre (baisse des budgets communaux par exemple) cette tendance devait s’inverser cela deviendrait plus problématique</w:t>
      </w:r>
      <w:r w:rsidR="00BE0E79">
        <w:t>.</w:t>
      </w:r>
    </w:p>
    <w:p w14:paraId="35E44C12" w14:textId="1D350D61" w:rsidR="002A03A2" w:rsidRPr="002A03A2" w:rsidRDefault="002A03A2" w:rsidP="00BA09E6">
      <w:pPr>
        <w:jc w:val="both"/>
        <w:rPr>
          <w:b/>
          <w:bCs/>
          <w:u w:val="single"/>
        </w:rPr>
      </w:pPr>
      <w:r w:rsidRPr="002A03A2">
        <w:rPr>
          <w:b/>
          <w:bCs/>
          <w:u w:val="single"/>
        </w:rPr>
        <w:t>Tendances générales</w:t>
      </w:r>
    </w:p>
    <w:p w14:paraId="45C40097" w14:textId="7E51F28C" w:rsidR="002A03A2" w:rsidRDefault="002A03A2" w:rsidP="00BA09E6">
      <w:pPr>
        <w:jc w:val="both"/>
      </w:pPr>
      <w:r>
        <w:t xml:space="preserve">En 2024, on avait observé le début d’un retournement de tendance. Alors que depuis plusieurs années les livres jeunesse résistaient assez bien à la baisse des prêts, tandis que les livres adultes et surtout les DVD connaissaient des baisses très importantes, en 2024 </w:t>
      </w:r>
      <w:r w:rsidR="00FD23CE">
        <w:t>ç’avait été l’inverse :  Le DVD et le livre adulte avaient mieux résisté que le livre jeunesse.</w:t>
      </w:r>
    </w:p>
    <w:p w14:paraId="2AF60648" w14:textId="08C9FE19" w:rsidR="00FD23CE" w:rsidRDefault="00FD23CE" w:rsidP="00BA09E6">
      <w:pPr>
        <w:jc w:val="both"/>
      </w:pPr>
      <w:r>
        <w:t>En 2025, ce retournement de tendance se confirme et s’amplifie. Ainsi dans un contexte généralisé de baisse du nombre de documents empruntés (</w:t>
      </w:r>
      <w:r w:rsidR="009F298A">
        <w:t>-4,5%) les livres jeunesse ont diminué de 5,4%, les livres adultes de 3,9%, les DVD de 0,7% et les CD – eux – ont progressé de 1,1%. Cela ne suffit pas à renverser les évolutions des années précédentes (sur 5 ans, le DVD diminue de 28%, le livre adulte de 17,5% quand le livre jeunesse ne baisse « que » de 11%), mais c’est tout de même significatif et rassurant pour les supports autres que le livre (CD et DVD) dont la pérennité est questionnée par l’évolution des techniques.</w:t>
      </w:r>
    </w:p>
    <w:p w14:paraId="6B9EA6AD" w14:textId="336BECE6" w:rsidR="009F298A" w:rsidRDefault="009F298A" w:rsidP="00BA09E6">
      <w:pPr>
        <w:jc w:val="both"/>
      </w:pPr>
      <w:r>
        <w:t>Si l’on regarde l’évolution des prêts dans le détail, on est frappé par l’excellente performance de la poésie adultes (+31%), des VO adultes et jeunesse (+19% et +7% respectivement)</w:t>
      </w:r>
      <w:r w:rsidR="00F91A0C">
        <w:t xml:space="preserve">. Mais en termes de volumes, ce sont les mangas qui progressent le plus. La BDLA continue à faire un effort soutenu d’acquisition de mangas pour répondre à la demande très importante du réseau. En 2025, la BDLA a </w:t>
      </w:r>
      <w:r w:rsidR="00F91A0C">
        <w:lastRenderedPageBreak/>
        <w:t>acheté 1393 mangas</w:t>
      </w:r>
      <w:r w:rsidR="00AB5788">
        <w:t xml:space="preserve"> (c’est 15% des documents achetés)</w:t>
      </w:r>
      <w:r w:rsidR="00F91A0C">
        <w:t>. Le fonds manga (jeunesse + ados + adultes + séries longues) compte désormais 14.000 documents contre environ 13.000 en 2024 (+972). Mais l’essentiel de ces nouvelles acquisitions ont été immédiatement empruntées, de telle sorte que le nombre de mangas en prêt a augmenté de 836 d’une année sur l’autre. Les collections en rayon restent donc totalement insuffisantes, ce qui nécessite de poursuivre l’effort d’acquisition sur ce fonds qui est tout à fait stratégique pour la lecture des enfants et des adolescents.</w:t>
      </w:r>
    </w:p>
    <w:p w14:paraId="7BED3A95" w14:textId="7C9B180D" w:rsidR="00F91A0C" w:rsidRDefault="00F91A0C" w:rsidP="00BA09E6">
      <w:pPr>
        <w:jc w:val="both"/>
      </w:pPr>
      <w:r>
        <w:t>Cependant, cet effort d’acquisition sur les mangas – particulièrement en période de baisse budgétaire – commence à se faire ressentir sur d’autres domaines et il devient difficile d’empêcher le vieillissement de certains domaines</w:t>
      </w:r>
      <w:r w:rsidR="003531F2">
        <w:t xml:space="preserve"> en particulier en jeunesse</w:t>
      </w:r>
      <w:r>
        <w:t xml:space="preserve"> comme les romans ados, </w:t>
      </w:r>
      <w:r w:rsidR="003531F2">
        <w:t>la poésie, les contes ou les livres lus. Il faut espérer que les bibliothèques du réseau finissent par étoffer leurs fonds propres pour que la situation se régularise progressivement.</w:t>
      </w:r>
    </w:p>
    <w:p w14:paraId="373EF592" w14:textId="7821003C" w:rsidR="007C6C2D" w:rsidRDefault="007C6C2D" w:rsidP="00BA09E6">
      <w:pPr>
        <w:jc w:val="both"/>
      </w:pPr>
      <w:r>
        <w:t>Parmi les enseignements de 2025 :</w:t>
      </w:r>
    </w:p>
    <w:p w14:paraId="65ACAC0D" w14:textId="40C81DB5" w:rsidR="007C6C2D" w:rsidRDefault="007C6C2D" w:rsidP="007C6C2D">
      <w:pPr>
        <w:pStyle w:val="Paragraphedeliste"/>
        <w:numPr>
          <w:ilvl w:val="0"/>
          <w:numId w:val="6"/>
        </w:numPr>
        <w:jc w:val="both"/>
      </w:pPr>
      <w:r>
        <w:t>Une baisse assez marquée des prêts de BD jeunesse, ce qui est paradoxal car le taux de prêt, lui, augmente (83,2% contre 82,4% en 2024). Le manque de place et une offre trop faible sont peut-être la cause de cette baisse.</w:t>
      </w:r>
    </w:p>
    <w:p w14:paraId="264C05B4" w14:textId="2941F015" w:rsidR="007C6C2D" w:rsidRDefault="007C6C2D" w:rsidP="007C6C2D">
      <w:pPr>
        <w:pStyle w:val="Paragraphedeliste"/>
        <w:numPr>
          <w:ilvl w:val="0"/>
          <w:numId w:val="6"/>
        </w:numPr>
        <w:jc w:val="both"/>
      </w:pPr>
      <w:r>
        <w:t>Les fonds « lire autrement » avaient été sanctuarisés en 2025. Cependant, avec un taux de prêt de seulement 64,6% le facile à lire déçoit. Le réseau nous sollicite peu. Il est impératif d’être plus incitatifs en proposant des offres d’action culturelle et plus de formations pour initier une vraie dynamique. Le fonds dys lui est très demandé (82,5%) mais le budget n’a pas pu être dépense en 2025 faute de production.</w:t>
      </w:r>
    </w:p>
    <w:p w14:paraId="6061913B" w14:textId="77777777" w:rsidR="00C47FA0" w:rsidRDefault="00C47FA0" w:rsidP="00C47FA0">
      <w:pPr>
        <w:jc w:val="both"/>
      </w:pPr>
    </w:p>
    <w:p w14:paraId="44EBC6D9" w14:textId="412B2364" w:rsidR="007C6C2D" w:rsidRPr="002A03A2" w:rsidRDefault="007C6C2D" w:rsidP="007C6C2D">
      <w:pPr>
        <w:jc w:val="both"/>
        <w:rPr>
          <w:b/>
          <w:bCs/>
          <w:u w:val="single"/>
        </w:rPr>
      </w:pPr>
      <w:r>
        <w:rPr>
          <w:b/>
          <w:bCs/>
          <w:u w:val="single"/>
        </w:rPr>
        <w:t>En 2026</w:t>
      </w:r>
    </w:p>
    <w:p w14:paraId="18C4BFE9" w14:textId="0B9628CC" w:rsidR="002A03A2" w:rsidRDefault="00C47FA0" w:rsidP="00BA09E6">
      <w:pPr>
        <w:jc w:val="both"/>
      </w:pPr>
      <w:r>
        <w:t>2026 va être marqué par la signature de la charte des collections qui clôturera un travail important réalisé avec les référentes en 2024 et 2025 autour de l’écriture des fiches domaines.</w:t>
      </w:r>
    </w:p>
    <w:p w14:paraId="0C92F7F2" w14:textId="00D7DEDF" w:rsidR="00C47FA0" w:rsidRDefault="00C47FA0" w:rsidP="00BA09E6">
      <w:pPr>
        <w:jc w:val="both"/>
      </w:pPr>
      <w:r>
        <w:t>Le réaménagement des magasins va également permettre d’améliorer la logique de répartition des collections (en particulier pour la BD et les mangas) et de donner plus de place à des domaines qui étaient vraiment à l’étroit comme la BDJ, les grands caractères, les policiers ou la SF. En espérant que cet espace gagné permette d’améliorer et diversifier l’offre aux bibliothèques pour ces domaines</w:t>
      </w:r>
    </w:p>
    <w:p w14:paraId="41AAF684" w14:textId="77777777" w:rsidR="00BE0E79" w:rsidRDefault="00BE0E79" w:rsidP="00BA09E6">
      <w:pPr>
        <w:jc w:val="both"/>
      </w:pPr>
    </w:p>
    <w:p w14:paraId="7B2B3E70" w14:textId="45074274" w:rsidR="00C47FA0" w:rsidRDefault="00C47FA0">
      <w:r>
        <w:br w:type="page"/>
      </w:r>
    </w:p>
    <w:p w14:paraId="2A734F33" w14:textId="77777777" w:rsidR="0091468B" w:rsidRDefault="00CA58A6" w:rsidP="0091468B">
      <w:pPr>
        <w:rPr>
          <w:b/>
          <w:bCs/>
          <w:sz w:val="28"/>
          <w:szCs w:val="28"/>
        </w:rPr>
      </w:pPr>
      <w:r w:rsidRPr="00CA58A6">
        <w:rPr>
          <w:b/>
          <w:bCs/>
          <w:sz w:val="28"/>
          <w:szCs w:val="28"/>
        </w:rPr>
        <w:lastRenderedPageBreak/>
        <w:t>Détail par grands domaines</w:t>
      </w:r>
    </w:p>
    <w:p w14:paraId="7C39D1E4" w14:textId="492C1295" w:rsidR="00BE211A" w:rsidRDefault="00E406BD" w:rsidP="00047851">
      <w:pPr>
        <w:pStyle w:val="Paragraphedeliste"/>
        <w:numPr>
          <w:ilvl w:val="0"/>
          <w:numId w:val="1"/>
        </w:numPr>
      </w:pPr>
      <w:r w:rsidRPr="00BE211A">
        <w:rPr>
          <w:b/>
          <w:bCs/>
        </w:rPr>
        <w:t>Romans adultes</w:t>
      </w:r>
      <w:r>
        <w:t xml:space="preserve"> : </w:t>
      </w:r>
      <w:r w:rsidR="004A642B">
        <w:t>Le roman adulte est en vitesse de croisière. Ces dernières années il a été bien rajeuni (âge réel = 6,3 inférieur à la moyenne des livres adultes). Le taux de prêt 74,7 est exactement égal à la moyenne des livres adultes. L’âge théorique de 7,9 est faible, mais c’est dû à des virements de fin d’année exceptionnels. Les prêts ont baissé de 6% en 2025, mais là encore on est juste un peu au-dessus de la moyenne. Un effort particulier a été fait pour augmenter la part de la littérature de genre (terroir, romance, feel good</w:t>
      </w:r>
      <w:r w:rsidR="006445DC">
        <w:t>, historique)</w:t>
      </w:r>
      <w:r w:rsidR="004A642B">
        <w:t xml:space="preserve"> qui était très faible</w:t>
      </w:r>
      <w:r w:rsidR="006445DC">
        <w:t>. Avec respectivement 92%, 93%, 95% et 83% de taux de prêt, ces genres sont toujours en forte tension</w:t>
      </w:r>
      <w:r w:rsidR="001411D7">
        <w:t xml:space="preserve"> et leur part dans nos collections doit encore être accentuée</w:t>
      </w:r>
      <w:r w:rsidR="004A642B">
        <w:t xml:space="preserve">   </w:t>
      </w:r>
      <w:r w:rsidR="004A642B">
        <w:br/>
      </w:r>
      <w:r w:rsidR="001411D7">
        <w:t>En 2026, l’espace occupé par les romans adultes sera légèrement réduit puisqu’il accueillera les sonores adultes, ce qui permettra une meilleure synergies entre ces fonds très proches.</w:t>
      </w:r>
      <w:r w:rsidR="001411D7">
        <w:br/>
      </w:r>
    </w:p>
    <w:p w14:paraId="12FF8FE6" w14:textId="589076B0" w:rsidR="00CD1093" w:rsidRDefault="00BE211A" w:rsidP="00BA09E6">
      <w:pPr>
        <w:pStyle w:val="Paragraphedeliste"/>
        <w:numPr>
          <w:ilvl w:val="0"/>
          <w:numId w:val="1"/>
        </w:numPr>
      </w:pPr>
      <w:r>
        <w:rPr>
          <w:b/>
          <w:bCs/>
        </w:rPr>
        <w:t>Policiers adultes </w:t>
      </w:r>
      <w:r w:rsidRPr="00BE211A">
        <w:t>:</w:t>
      </w:r>
      <w:r>
        <w:t xml:space="preserve"> </w:t>
      </w:r>
      <w:r w:rsidR="0091468B">
        <w:t xml:space="preserve">Ce domaine jadis un des plus demandés de la BDLA </w:t>
      </w:r>
      <w:r w:rsidR="001411D7">
        <w:t>continue de refluer. En 2025 encore ses prêts ont baissé davantage que la moyenne de la BDLA (-7% contre moins 4,5%). Avec 73,2%, le taux de prêt est désormais passé en dessous de la moyenne de la BDLA. Il s’agit d’un fonds encore un peu plus jeune que la moyenne des livres adultes (6,6 contre 6,9) mais avec un âge théorique élevé (10,9 contre 9 pour la moyenne BDLA). Il n’y a pas nécessité pour l’instant d’augmenter les acquisitions, mais ça pourrait arriver dans les années à venir, selon l’évolution des prêts.</w:t>
      </w:r>
      <w:r w:rsidR="001411D7">
        <w:br/>
        <w:t>C’est un domaine qui a toujours été à l’étroit. C’était encore plus vrai il y a quelques années quand il était plus demandé que la moyenne, mais ça reste encore d’actualité. Cela sera corrigé en 2026 à la suite du réaménagement des magasins. Cet espace supplémentaire – en offrant aux policiers une meilleure visibilité et une plus grande profondeur de fonds – permettra peut-être d’enrayer la baisse des prêts.</w:t>
      </w:r>
      <w:r w:rsidR="001411D7">
        <w:br/>
        <w:t>Néanmoins il est sûrement pertinent d’évaluer les acquisitions pour voir si certaines niches plus demandées pourraient être renforcées</w:t>
      </w:r>
      <w:r w:rsidR="0074420B">
        <w:t>, et de proposer des sélections sur le portail pour redynamiser ce domaine.</w:t>
      </w:r>
      <w:r w:rsidR="0074420B">
        <w:br/>
      </w:r>
    </w:p>
    <w:p w14:paraId="7F4986B4" w14:textId="6598C443" w:rsidR="00D30BC0" w:rsidRDefault="00CD1093" w:rsidP="0074420B">
      <w:pPr>
        <w:pStyle w:val="Paragraphedeliste"/>
        <w:numPr>
          <w:ilvl w:val="0"/>
          <w:numId w:val="1"/>
        </w:numPr>
      </w:pPr>
      <w:r>
        <w:rPr>
          <w:b/>
          <w:bCs/>
        </w:rPr>
        <w:t>SF Adultes </w:t>
      </w:r>
      <w:r w:rsidRPr="00CD1093">
        <w:t>:</w:t>
      </w:r>
      <w:r>
        <w:t xml:space="preserve"> </w:t>
      </w:r>
      <w:r w:rsidR="0074420B">
        <w:t>avec -2% de prêts en 2025, la SF adultes a plutôt mieux résisté que la plupart des autres domaines. Cela se vérifie aussi sur le long terme. En 5 ans les prêts de SF ont baissé de moins de 15% là où le roman baisse de 27% et les policiers de 21%. Le taux de prêt de 77% est au-dessus de la moyenne. C’est un domaine qui est à l’étroit depuis longtemps qui aurait mérité de pouvoir s’étendre davantage. Ce sera chose faite en 2026 avec le réaménagement des magasins. Tant l’âge réel que théorique sont proches de la moyenne. Les acquisitions sont bien calibrées.</w:t>
      </w:r>
      <w:r w:rsidR="0074420B">
        <w:br/>
      </w:r>
    </w:p>
    <w:p w14:paraId="5C891E53" w14:textId="74E744DC" w:rsidR="00CF144B" w:rsidRDefault="0089561D" w:rsidP="00BA09E6">
      <w:pPr>
        <w:pStyle w:val="Paragraphedeliste"/>
        <w:numPr>
          <w:ilvl w:val="0"/>
          <w:numId w:val="1"/>
        </w:numPr>
      </w:pPr>
      <w:r>
        <w:rPr>
          <w:b/>
          <w:bCs/>
        </w:rPr>
        <w:t>Grands caractères </w:t>
      </w:r>
      <w:r w:rsidRPr="0089561D">
        <w:t>:</w:t>
      </w:r>
      <w:r>
        <w:t xml:space="preserve"> </w:t>
      </w:r>
      <w:r w:rsidR="0074420B">
        <w:t xml:space="preserve">Même </w:t>
      </w:r>
      <w:r w:rsidR="0056563A">
        <w:t>si les prêts ont baissé en 2025 (-5,5%) il s’agit d’un domaine extrêmement demandé  (taux de prêt de 85,3%) qui nécessiterait beaucoup plus de place, ce qui sera chose faite en 2026 avec la réorganisation des magasins. Jusqu’à présent le manque de place limitait la possibilité d’augmenter le fonds et donc le besoin d’augmenter les acquisitions. Mais cet obstacle étant levé, il va falloir commencer progressivement (et dès 2026) à augmenter le budget, d’autant plus que ce fonds est un peu plus âgé que la moyenne (7,3 ans) et que l’âge théorique l’est beaucoup plus (11 ans).</w:t>
      </w:r>
      <w:r w:rsidR="0056563A">
        <w:br/>
      </w:r>
    </w:p>
    <w:p w14:paraId="1B7F744E" w14:textId="3D4AD613" w:rsidR="00487E3F" w:rsidRDefault="00CF144B" w:rsidP="00BA09E6">
      <w:pPr>
        <w:pStyle w:val="Paragraphedeliste"/>
        <w:numPr>
          <w:ilvl w:val="0"/>
          <w:numId w:val="1"/>
        </w:numPr>
      </w:pPr>
      <w:r>
        <w:rPr>
          <w:b/>
          <w:bCs/>
        </w:rPr>
        <w:t>BD Adultes </w:t>
      </w:r>
      <w:r w:rsidRPr="00CF144B">
        <w:t>:</w:t>
      </w:r>
      <w:r>
        <w:t xml:space="preserve"> </w:t>
      </w:r>
      <w:r w:rsidR="003E0727">
        <w:t xml:space="preserve">Avec une baisse des prêts de seulement 0,2% en 2025, les BDA ont très bien résisté. À 79,3% leur taux de prêt est désormais nettement au-dessus de la moyenne des livres adultes à la suite d’un désherbage assez musclé. Avec la réorganisation des magasins, </w:t>
      </w:r>
      <w:r w:rsidR="003E0727">
        <w:lastRenderedPageBreak/>
        <w:t>les BDA seront intégrées à un pôle BD/mangas qui leur donnera beaucoup plus de visibilité. Les BDA sont proches de la moyenne tant par l’âge réel que théorique, les acquisitions semblent bien calibrées.</w:t>
      </w:r>
      <w:r w:rsidR="0056563A">
        <w:br/>
      </w:r>
    </w:p>
    <w:p w14:paraId="087B46BC" w14:textId="111DEABF" w:rsidR="00326CE1" w:rsidRDefault="00487E3F" w:rsidP="00BA09E6">
      <w:pPr>
        <w:pStyle w:val="Paragraphedeliste"/>
        <w:numPr>
          <w:ilvl w:val="0"/>
          <w:numId w:val="1"/>
        </w:numPr>
      </w:pPr>
      <w:r>
        <w:rPr>
          <w:b/>
          <w:bCs/>
        </w:rPr>
        <w:t>Mangas adultes </w:t>
      </w:r>
      <w:r w:rsidRPr="00487E3F">
        <w:t>:</w:t>
      </w:r>
      <w:r>
        <w:t xml:space="preserve"> ce fonds avait été – il y a de nombreuses années – totalement surdéveloppé par rapport à la demande. Cela avait conduit à des collections très importantes qui encombraient les magasins. Depuis plusieurs années, il est en cours de « normalisation ». Ce travail commence à porter ses fruits, même s’il reste du travail.</w:t>
      </w:r>
      <w:r w:rsidR="008327C3">
        <w:br/>
      </w:r>
      <w:r w:rsidR="003E0727">
        <w:t>Comme en</w:t>
      </w:r>
      <w:r w:rsidR="008327C3">
        <w:t xml:space="preserve"> 2024, le manga adultes a été un des rares fonds à voir ses prêts augmenter portant son taux de prêt à </w:t>
      </w:r>
      <w:r w:rsidR="003E0727">
        <w:t>85</w:t>
      </w:r>
      <w:r w:rsidR="008327C3">
        <w:t xml:space="preserve">% </w:t>
      </w:r>
      <w:r w:rsidR="003E0727">
        <w:t>ce qui est extrêmement élevé.</w:t>
      </w:r>
      <w:r w:rsidR="008327C3">
        <w:t xml:space="preserve"> Le problème de ce fonds est son âge élevé (9,8 ans) lié aux acquisitions passées très importantes puis à la diminution drastique qui a suivi. Cela nous a conduit à augmenter à nouveau les acquisitions en 2024.</w:t>
      </w:r>
      <w:r w:rsidR="003E0727">
        <w:t xml:space="preserve"> L’augmentation du taux de prêt plaide pour une nouvelle augmentation autour de 90 par an (il n’existe pas de budget spécifique pour les mangas adultes). La réorganisation des magasins en 2026 va conduire à la création d’un vrai pôle BD/mangas, ce qui augmentera encore leur visibilité.</w:t>
      </w:r>
      <w:r w:rsidR="008327C3">
        <w:br/>
      </w:r>
    </w:p>
    <w:p w14:paraId="03A3E6BD" w14:textId="797A9640" w:rsidR="000D650E" w:rsidRDefault="00326CE1" w:rsidP="000D650E">
      <w:pPr>
        <w:pStyle w:val="Paragraphedeliste"/>
        <w:numPr>
          <w:ilvl w:val="0"/>
          <w:numId w:val="1"/>
        </w:numPr>
      </w:pPr>
      <w:r w:rsidRPr="00CD1EB5">
        <w:rPr>
          <w:b/>
          <w:bCs/>
        </w:rPr>
        <w:t>Poésie adultes </w:t>
      </w:r>
      <w:r w:rsidRPr="00326CE1">
        <w:t>:</w:t>
      </w:r>
      <w:r>
        <w:t xml:space="preserve"> </w:t>
      </w:r>
      <w:r w:rsidR="00CD1EB5">
        <w:t>La poésie adultes est le fonds dont les prêts ont le plus augmenté en 2025 avec +31% ! Le taux de prêt d’un peu moins de 66% reste encore en dessous de la moyenne de la BDLA, mais il était autour de 52% en 2024. Il s’agit d’un fonds jeune, bien mis en valeur et bien renouvelé (les acquisitions sont certainement un peu plus importantes que ne le dicterait les demandes du réseau, mais c’est un fonds difficile qui mérite un effort particulier).</w:t>
      </w:r>
      <w:r w:rsidR="00CD1EB5">
        <w:br/>
        <w:t>En 2026 comme en 2025 un effort de médiation particulier sera réalisé dans le cadre du printemps des poètes.</w:t>
      </w:r>
      <w:r w:rsidR="00CD1EB5">
        <w:br/>
      </w:r>
    </w:p>
    <w:p w14:paraId="01CB5DD6" w14:textId="637F454F" w:rsidR="001D0DEA" w:rsidRDefault="00D8607C" w:rsidP="00BA09E6">
      <w:pPr>
        <w:pStyle w:val="Paragraphedeliste"/>
        <w:numPr>
          <w:ilvl w:val="0"/>
          <w:numId w:val="1"/>
        </w:numPr>
      </w:pPr>
      <w:r w:rsidRPr="00D8607C">
        <w:rPr>
          <w:b/>
          <w:bCs/>
        </w:rPr>
        <w:t>VO Adultes</w:t>
      </w:r>
      <w:r>
        <w:t> :</w:t>
      </w:r>
      <w:r w:rsidR="00A55BBE">
        <w:t xml:space="preserve"> Avec +19% les prêts des VOA ont fortement augmenté en 2025, portant le taux de prêt à 76,1% soit mieux que la moyenne BDLA, alors que pendant longtemps il tournait entre 50% et 60%. L’âge réel est un peu supérieur à la moyenne, comme l’âge théorique ce qui plaidera pour une légère augmentation des acquisitions, mais ça n’a pas été possible cette année. </w:t>
      </w:r>
      <w:r w:rsidR="008022ED">
        <w:t>À</w:t>
      </w:r>
      <w:r w:rsidR="00A55BBE">
        <w:t xml:space="preserve"> voir en 2027</w:t>
      </w:r>
      <w:r w:rsidR="00A55BBE">
        <w:br/>
      </w:r>
    </w:p>
    <w:p w14:paraId="5036ADB5" w14:textId="68FE5D80" w:rsidR="007F34D6" w:rsidRDefault="001D0DEA" w:rsidP="00B67717">
      <w:pPr>
        <w:pStyle w:val="Paragraphedeliste"/>
        <w:numPr>
          <w:ilvl w:val="0"/>
          <w:numId w:val="1"/>
        </w:numPr>
      </w:pPr>
      <w:r>
        <w:rPr>
          <w:b/>
          <w:bCs/>
        </w:rPr>
        <w:t>Docs adultes </w:t>
      </w:r>
      <w:r w:rsidRPr="001D0DEA">
        <w:t>:</w:t>
      </w:r>
      <w:r>
        <w:t xml:space="preserve"> </w:t>
      </w:r>
      <w:r w:rsidR="00DD0060">
        <w:t xml:space="preserve">Longtemps considérés comme le cas difficile des collections, menacés par internet et le désintérêt des bénévoles, ce domaine a su faire preuve depuis quelques années d’une belle résilience pour se rapprocher de la moyenne des livres adultes. </w:t>
      </w:r>
      <w:r w:rsidR="0095722C">
        <w:br/>
        <w:t xml:space="preserve">Néanmoins, comme en 2024, les prêts des documentaires adultes ont davantage diminué en 2025 que ceux de la moyenne BDLA (-5,8% contre -4,5%). Le taux de prêt – lui – a augmenté, passant de 71,4% à 74%, mais c’est du fait d’un désherbage assez massif (les collections ont diminué de 1800 documents quand les prêts n’ont diminué </w:t>
      </w:r>
      <w:r w:rsidR="00B022EB">
        <w:t>que</w:t>
      </w:r>
      <w:r w:rsidR="0095722C">
        <w:t xml:space="preserve"> de 800). L</w:t>
      </w:r>
      <w:r w:rsidR="00B53640">
        <w:t>’</w:t>
      </w:r>
      <w:r w:rsidR="0095722C">
        <w:t>âge réel est tout à fait dans la moyenne des livres adultes (6,9). L’âge théorique est plutôt en dessous (8,4 contre 9,5) mais c’est en partie dû à un virement de fin d’année. Au total, les acquisitions sont assez bien calibrées même si elles conservent une petite marge de diminution.</w:t>
      </w:r>
      <w:r w:rsidR="0095722C">
        <w:br/>
        <w:t>Si la baisse des prêts assez importante pour la 2</w:t>
      </w:r>
      <w:r w:rsidR="0095722C" w:rsidRPr="0095722C">
        <w:rPr>
          <w:vertAlign w:val="superscript"/>
        </w:rPr>
        <w:t>e</w:t>
      </w:r>
      <w:r w:rsidR="0095722C">
        <w:t xml:space="preserve"> année consécutive n’est pas affolante, il faudrait commencer à envisager un infléchissement des acquisitions en faveur de certains sous-domaines très demandés. C’est particulièrement le cas pour 3 d’entre eux qui – en plus d’être plus demandés que la moyenne – ont un âge réel et théorique très au-dessus de la moyenne : il s’agit de la psychologie (en prêt à 80,5% avec un âge réel de 7,5 et un âge théorique de 13,6), de la santé en prêt à 77,5% avec un âge réel de 7,1 et un âge théorique </w:t>
      </w:r>
      <w:r w:rsidR="0095722C">
        <w:lastRenderedPageBreak/>
        <w:t xml:space="preserve">de 14,9) et </w:t>
      </w:r>
      <w:r w:rsidR="00B53640">
        <w:t>des loisirs créatifs (en prêt à 83,4%, âge réel de 7,6 et âge théorique de 14,4). La cuisine et le jardinage pourraient également être développés, même si leur âge réel et théorique ne sont pas problématiques.</w:t>
      </w:r>
      <w:r w:rsidR="00B53640">
        <w:br/>
        <w:t>A l’autre bout du spectre, les sciences, la société et l’histoire sont bien moins empruntés, mais sont plus jeunes avec un âge théorique bien plus faible.</w:t>
      </w:r>
      <w:r w:rsidR="00B53640">
        <w:br/>
        <w:t>Naturellement, il est tout à fait normal que la BDLA effectue un effort particulier pour ces domaines plus exigeants mais d’une importance stratégique dans nos missions d’éducation et d’apprentissage de la citoyenneté, mais cela ne doit pas se faire au détriment de l’attractivité globale du rayon des documentaires. N’oublions pas également que beaucoup de petites bibliothèques s’appuient quasi exclusivement sur la BDLA pour leurs documentaires, y compris pour les ouvrages pratiques. Il est essentiel que nous leur donnions les moyens d’avoir des rayons documentaires attractifs, si on veut donner une chance à nos ouvrages plus pointus d’être découverts.</w:t>
      </w:r>
      <w:r w:rsidR="0095722C">
        <w:br/>
      </w:r>
    </w:p>
    <w:p w14:paraId="12EFF234" w14:textId="52CB6403" w:rsidR="00BA3A7F" w:rsidRDefault="007F34D6" w:rsidP="00BA09E6">
      <w:pPr>
        <w:pStyle w:val="Paragraphedeliste"/>
        <w:numPr>
          <w:ilvl w:val="0"/>
          <w:numId w:val="1"/>
        </w:numPr>
      </w:pPr>
      <w:r w:rsidRPr="005B603C">
        <w:rPr>
          <w:b/>
          <w:bCs/>
        </w:rPr>
        <w:t>Fonds ado</w:t>
      </w:r>
      <w:r w:rsidRPr="005B603C">
        <w:t> </w:t>
      </w:r>
      <w:r>
        <w:t xml:space="preserve">: </w:t>
      </w:r>
      <w:r w:rsidR="00BA3A7F">
        <w:t>C’est un fonds composite qui se décompose en :</w:t>
      </w:r>
    </w:p>
    <w:p w14:paraId="506C3958" w14:textId="4EB387B9" w:rsidR="00BA3A7F" w:rsidRDefault="00BA3A7F" w:rsidP="00BA09E6">
      <w:pPr>
        <w:pStyle w:val="Paragraphedeliste"/>
        <w:numPr>
          <w:ilvl w:val="0"/>
          <w:numId w:val="2"/>
        </w:numPr>
      </w:pPr>
      <w:r>
        <w:t>Romans ados, eux-mêmes répartis en ados adultes et ados jeunesse puis en sous-genres (policiers, sf, romans…)</w:t>
      </w:r>
    </w:p>
    <w:p w14:paraId="586AA28A" w14:textId="22724448" w:rsidR="00BA3A7F" w:rsidRDefault="00BA3A7F" w:rsidP="00BA09E6">
      <w:pPr>
        <w:pStyle w:val="Paragraphedeliste"/>
        <w:ind w:left="1440"/>
      </w:pPr>
      <w:r>
        <w:t xml:space="preserve">Environ </w:t>
      </w:r>
      <w:r w:rsidR="00E33413">
        <w:t>4.</w:t>
      </w:r>
      <w:r w:rsidR="00F96A0E">
        <w:t>2</w:t>
      </w:r>
      <w:r w:rsidR="00E33413">
        <w:t>00</w:t>
      </w:r>
      <w:r>
        <w:t xml:space="preserve"> romans ados répartis à 8</w:t>
      </w:r>
      <w:r w:rsidR="00B928B5">
        <w:t>7</w:t>
      </w:r>
      <w:r>
        <w:t>% en jeunesse et 1</w:t>
      </w:r>
      <w:r w:rsidR="00B928B5">
        <w:t>3</w:t>
      </w:r>
      <w:r w:rsidR="00350662">
        <w:t>%</w:t>
      </w:r>
      <w:r>
        <w:t xml:space="preserve"> adulte</w:t>
      </w:r>
      <w:r w:rsidR="00350662">
        <w:t>s</w:t>
      </w:r>
      <w:r>
        <w:t xml:space="preserve"> et 5</w:t>
      </w:r>
      <w:r w:rsidR="00F96A0E">
        <w:t>3</w:t>
      </w:r>
      <w:r>
        <w:t>% romans généraux, 3</w:t>
      </w:r>
      <w:r w:rsidR="00F96A0E">
        <w:t>7</w:t>
      </w:r>
      <w:r>
        <w:t>% SF et 1</w:t>
      </w:r>
      <w:r w:rsidR="00B928B5">
        <w:t>0</w:t>
      </w:r>
      <w:r>
        <w:t>% policiers.</w:t>
      </w:r>
      <w:r>
        <w:br/>
      </w:r>
      <w:r w:rsidR="00484F7D">
        <w:t xml:space="preserve">Les taux de prêt sont globalement assez faibles avec des taux </w:t>
      </w:r>
      <w:r w:rsidR="008E6FD6">
        <w:t>qui tournent autour de 65% pour la jeunesse et 71% pour les adultes</w:t>
      </w:r>
      <w:r w:rsidR="00B928B5">
        <w:t>.</w:t>
      </w:r>
      <w:r w:rsidR="008E6FD6">
        <w:t xml:space="preserve"> Il est difficile de faire un palmarès par genres (policiers, SF…) car les chiffres sont très volatiles.</w:t>
      </w:r>
      <w:r w:rsidR="00B928B5">
        <w:t xml:space="preserve"> Les prêts ont diminué de </w:t>
      </w:r>
      <w:r w:rsidR="008E6FD6">
        <w:t>4</w:t>
      </w:r>
      <w:r w:rsidR="00B928B5">
        <w:t>% en 202</w:t>
      </w:r>
      <w:r w:rsidR="008E6FD6">
        <w:t>5</w:t>
      </w:r>
      <w:r w:rsidR="00B928B5">
        <w:t xml:space="preserve"> par rapport à 202</w:t>
      </w:r>
      <w:r w:rsidR="008E6FD6">
        <w:t>4</w:t>
      </w:r>
      <w:r w:rsidR="00B928B5">
        <w:t>, ce qui</w:t>
      </w:r>
      <w:r w:rsidR="002D2D82">
        <w:t xml:space="preserve"> est</w:t>
      </w:r>
      <w:r w:rsidR="00B928B5">
        <w:t xml:space="preserve"> </w:t>
      </w:r>
      <w:r w:rsidR="008E6FD6">
        <w:t>mieux que la moyenne de la BDLA et assez proche du reste des romans jeunesse.</w:t>
      </w:r>
      <w:r w:rsidR="00B928B5">
        <w:br/>
      </w:r>
      <w:r w:rsidR="008E37D6">
        <w:t xml:space="preserve">Au regard du taux de prêt assez faible, </w:t>
      </w:r>
      <w:r w:rsidR="00B107B7">
        <w:t>le fonds va être amené à diminuer, mais comme il est assez jeune, cela prendre du temps. L</w:t>
      </w:r>
      <w:r w:rsidR="008E37D6">
        <w:t>e budget d’acquisition a déjà été baissé et ne peut guère l’être davantage</w:t>
      </w:r>
      <w:r w:rsidR="008E6FD6">
        <w:t>. Il sera même très légèrement augmenté pour éviter un vieillissement trop rapide</w:t>
      </w:r>
      <w:r w:rsidR="008E37D6">
        <w:t>.</w:t>
      </w:r>
      <w:r w:rsidR="00980771">
        <w:t xml:space="preserve"> </w:t>
      </w:r>
      <w:r w:rsidR="008E6FD6">
        <w:t>Un effort de médiation particulier doit être fait pour ce fonds sous la forme d’une sélection annuelle sur la portail</w:t>
      </w:r>
      <w:r w:rsidR="00980771">
        <w:t>.</w:t>
      </w:r>
      <w:r w:rsidR="00743EEA">
        <w:br/>
      </w:r>
    </w:p>
    <w:p w14:paraId="7C01D8C3" w14:textId="4DA4C077" w:rsidR="00AE1518" w:rsidRDefault="00BA3A7F" w:rsidP="00BA09E6">
      <w:pPr>
        <w:pStyle w:val="Paragraphedeliste"/>
        <w:numPr>
          <w:ilvl w:val="0"/>
          <w:numId w:val="2"/>
        </w:numPr>
      </w:pPr>
      <w:r>
        <w:t>BD et mangas ados (adultes et jeunesse)</w:t>
      </w:r>
      <w:r w:rsidR="00567165">
        <w:t xml:space="preserve"> : </w:t>
      </w:r>
      <w:r w:rsidR="00E70A77">
        <w:t xml:space="preserve">Les BD et mangas ados représentent plus de </w:t>
      </w:r>
      <w:r w:rsidR="008E6FD6">
        <w:t>6</w:t>
      </w:r>
      <w:r w:rsidR="00E70A77">
        <w:t>600 documents</w:t>
      </w:r>
      <w:r w:rsidR="008E6FD6">
        <w:t xml:space="preserve"> (+1000 par rapport à 2024)</w:t>
      </w:r>
      <w:r w:rsidR="00E70A77">
        <w:t>, extrêmement empruntés</w:t>
      </w:r>
      <w:r w:rsidR="00987673">
        <w:t>. Les taux de prêt sont désormais équivalents ou supérieurs à leurs homologues en adulte ou jeunesse (ce qui n’était pas le cas les années précédentes). Il s’agit de fonds encore en ph</w:t>
      </w:r>
      <w:r w:rsidR="00AE1518">
        <w:t>a</w:t>
      </w:r>
      <w:r w:rsidR="00987673">
        <w:t>se de constitution, qui ne font pas l’objet d’un budget spéci</w:t>
      </w:r>
      <w:r w:rsidR="00AE1518">
        <w:t>fique (ce sont les acquéreuses adultes ou jeunesse qui décident au cas par cas si une BD ou un manga doit aller en ado). Il est donc difficile de fixer des objectifs chiffrés, mais au regard des statistiques, la répartition semble convenir aux attentes du réseau.</w:t>
      </w:r>
      <w:r w:rsidR="00AE1518">
        <w:br/>
      </w:r>
    </w:p>
    <w:p w14:paraId="7D9D6E37" w14:textId="77777777" w:rsidR="005B603C" w:rsidRDefault="00AE1518" w:rsidP="00BA09E6">
      <w:pPr>
        <w:pStyle w:val="Paragraphedeliste"/>
        <w:numPr>
          <w:ilvl w:val="0"/>
          <w:numId w:val="2"/>
        </w:numPr>
      </w:pPr>
      <w:r>
        <w:t xml:space="preserve">Documentaires ados (adultes et jeunesse) : Un peu moins de </w:t>
      </w:r>
      <w:r w:rsidR="005B603C">
        <w:t>500</w:t>
      </w:r>
      <w:r>
        <w:t xml:space="preserve"> documentaires issus pour plus de 90% du fonds jeunesse. Il s’agit de thématiques ados, et pas d’un niveau de lecture ados</w:t>
      </w:r>
      <w:r w:rsidR="00530624">
        <w:t>. Là encore, il n’y a pas de budget spécifique. Ce sont les acquéreuses qui décident au cas par cas de mettre les documentaires en ados. Ces documentaires sont assez peu empruntés, avec des taux de prêt nettement inférieurs à leurs homologues en adultes ou en jeunesse (</w:t>
      </w:r>
      <w:r w:rsidR="005B603C">
        <w:t>69</w:t>
      </w:r>
      <w:r w:rsidR="00530624">
        <w:t>% contre 7</w:t>
      </w:r>
      <w:r w:rsidR="005B603C">
        <w:t>3</w:t>
      </w:r>
      <w:r w:rsidR="00530624">
        <w:t xml:space="preserve">% pour les </w:t>
      </w:r>
      <w:r w:rsidR="005B603C">
        <w:t>ados jeunesse</w:t>
      </w:r>
      <w:r w:rsidR="00530624">
        <w:t xml:space="preserve">). </w:t>
      </w:r>
      <w:r w:rsidR="005B603C">
        <w:t>En 2025 les docs ados ont connu une diminution spectaculaire du nombre de prêts (-33%) et du fonds (-37%) passant de 800 à 500 documents.</w:t>
      </w:r>
      <w:r w:rsidR="005B603C">
        <w:br/>
      </w:r>
      <w:r w:rsidR="00530624">
        <w:lastRenderedPageBreak/>
        <w:t>Même s’il est difficile de fixer des objectifs, on peut dire que l’offre actuelle et les acquisitions sont largement suffisantes par rapport à la demande du réseau.</w:t>
      </w:r>
    </w:p>
    <w:p w14:paraId="0AD6BD87" w14:textId="54CB4296" w:rsidR="007F34D6" w:rsidRDefault="005B603C" w:rsidP="005B603C">
      <w:pPr>
        <w:ind w:left="708"/>
      </w:pPr>
      <w:r>
        <w:t xml:space="preserve">En 2026, la réorganisation des magasins va conduire à l’éclatement du fonds ado. Les romans ados vont </w:t>
      </w:r>
      <w:r w:rsidR="00B022EB">
        <w:t>s</w:t>
      </w:r>
      <w:r>
        <w:t>e retrouver entre les romans jeunesse et la SF adultes, les BD ados entre les BD A&amp;J, idem pour les mangas ados. Les documentaires ados seront à la fin des docs adultes, en vis-à-vis des docs jeunesse. De nouvelles localisations seront créées et la localisation « fonds ado » sera supprimée.</w:t>
      </w:r>
      <w:r w:rsidR="004E2638">
        <w:br/>
      </w:r>
    </w:p>
    <w:p w14:paraId="30269AF2" w14:textId="6BAB3098" w:rsidR="000A46D6" w:rsidRDefault="007F34D6" w:rsidP="00843E31">
      <w:pPr>
        <w:pStyle w:val="Paragraphedeliste"/>
        <w:numPr>
          <w:ilvl w:val="0"/>
          <w:numId w:val="1"/>
        </w:numPr>
      </w:pPr>
      <w:r>
        <w:rPr>
          <w:b/>
          <w:bCs/>
        </w:rPr>
        <w:t>Romans jeunesse </w:t>
      </w:r>
      <w:r w:rsidR="003629A9">
        <w:rPr>
          <w:b/>
          <w:bCs/>
        </w:rPr>
        <w:t xml:space="preserve">&amp; premières </w:t>
      </w:r>
      <w:r w:rsidR="00C91AA4">
        <w:rPr>
          <w:b/>
          <w:bCs/>
        </w:rPr>
        <w:t>lectures</w:t>
      </w:r>
      <w:r w:rsidR="00C91AA4" w:rsidRPr="007F34D6">
        <w:t xml:space="preserve"> :</w:t>
      </w:r>
      <w:r w:rsidR="00367FFA">
        <w:t xml:space="preserve"> </w:t>
      </w:r>
      <w:r w:rsidR="00903D6E">
        <w:t>En difficulté depuis plusieurs années (-</w:t>
      </w:r>
      <w:r w:rsidR="00AE35A8">
        <w:t>24% de prêts depuis 2021, quand l’ensemble de la BDLA ne baisse que de 14%), le roman jeun</w:t>
      </w:r>
      <w:r w:rsidR="00B022EB">
        <w:t>e</w:t>
      </w:r>
      <w:r w:rsidR="00AE35A8">
        <w:t>sse limite un peu la casse en 2025 avec une baisse de 4,4%, ce qui est mieux que la moyenne des livres jeunesse.</w:t>
      </w:r>
      <w:r w:rsidR="00843E31">
        <w:t xml:space="preserve"> </w:t>
      </w:r>
      <w:r w:rsidR="002D2D82">
        <w:t>Le taux</w:t>
      </w:r>
      <w:r w:rsidR="00843E31">
        <w:t xml:space="preserve"> de prêt de </w:t>
      </w:r>
      <w:r w:rsidR="00AE35A8">
        <w:t>70</w:t>
      </w:r>
      <w:r w:rsidR="00843E31">
        <w:t>%</w:t>
      </w:r>
      <w:r w:rsidR="00AE35A8">
        <w:t xml:space="preserve"> a progressé depuis 2024 (67%) mais reste</w:t>
      </w:r>
      <w:r w:rsidR="00843E31">
        <w:t xml:space="preserve"> inférieur à la moyenne des livres jeunesse (73,</w:t>
      </w:r>
      <w:r w:rsidR="00AE35A8">
        <w:t>6</w:t>
      </w:r>
      <w:r w:rsidR="00843E31">
        <w:t>%). Même les premières lectures qui étaient autrefois très demandées ne sont plus en prêt qu’à hauteur de 7</w:t>
      </w:r>
      <w:r w:rsidR="00AE35A8">
        <w:t>1</w:t>
      </w:r>
      <w:r w:rsidR="00843E31">
        <w:t>% .</w:t>
      </w:r>
      <w:r w:rsidR="00843E31">
        <w:br/>
        <w:t>Il est difficile de savoir si cela correspond à une modification structurelle des attentes du réseau ou à un besoin de rééquilibrer les acquisitions au sein du domaine.</w:t>
      </w:r>
      <w:r w:rsidR="00530624">
        <w:br/>
        <w:t>Contrairement aux romans adultes où une analyse par genre avait permis de mettre en évidence un gros déséquilibre et une sous-représentation de certains genres très demandés, les romans jeunesse n’ont pas de genres très demandés. La SF semble un peu plus demandée, mais ce n’est pas spectaculaire, et la production est assez faible</w:t>
      </w:r>
      <w:r w:rsidR="00843E31">
        <w:t>.</w:t>
      </w:r>
      <w:r w:rsidR="008F6023">
        <w:t xml:space="preserve"> Un effort de médiation particulier, comme pour les romans ados – pourrait être envisagé en 202</w:t>
      </w:r>
      <w:r w:rsidR="00AE35A8">
        <w:t>6</w:t>
      </w:r>
      <w:r w:rsidR="008F6023">
        <w:t>.</w:t>
      </w:r>
      <w:r w:rsidR="00AE35A8">
        <w:br/>
        <w:t>Le fonds a été bien rajeuni en 2025 (âge réel passé de 8,4 à 8 ce qui est dans la moyenne des livres jeunesse), mais l’âge théorique, lui, est un peu élevé (10 contre 9 pour la moyenne BDLA). Il n’est pas possible de consentir une augmentation des acquisitions en 2026 à l’exception des premières lectures qui subissent un vieillissement accéléré.</w:t>
      </w:r>
      <w:r w:rsidR="002D2D82">
        <w:br/>
        <w:t xml:space="preserve">En 2026, les romans jeunesse vont déménager et se retrouveront à côté des romans ados et de la </w:t>
      </w:r>
      <w:r w:rsidR="00020584">
        <w:t>S</w:t>
      </w:r>
      <w:r w:rsidR="002D2D82">
        <w:t xml:space="preserve">F adultes. </w:t>
      </w:r>
      <w:r w:rsidR="007160E0">
        <w:t>Un temps envisagée</w:t>
      </w:r>
      <w:r w:rsidR="002D2D82">
        <w:t>, la séparation des premières lectures et leur mise en tiroirs ne sera pas possible immédiatement en raison d’une volumétrie trop importante (entre 12 et 15 tiroirs nécessaires). On créera néanmoins une localisation « première lecture ».</w:t>
      </w:r>
      <w:r w:rsidR="00AE35A8">
        <w:t xml:space="preserve"> </w:t>
      </w:r>
      <w:r w:rsidR="005032C2">
        <w:br/>
      </w:r>
    </w:p>
    <w:p w14:paraId="39508DBD" w14:textId="796BCB9B" w:rsidR="00890C01" w:rsidRDefault="000A46D6" w:rsidP="00BA09E6">
      <w:pPr>
        <w:pStyle w:val="Paragraphedeliste"/>
        <w:numPr>
          <w:ilvl w:val="0"/>
          <w:numId w:val="1"/>
        </w:numPr>
      </w:pPr>
      <w:r>
        <w:rPr>
          <w:b/>
          <w:bCs/>
        </w:rPr>
        <w:t>Albums</w:t>
      </w:r>
      <w:r w:rsidR="003629A9">
        <w:rPr>
          <w:b/>
          <w:bCs/>
        </w:rPr>
        <w:t xml:space="preserve"> </w:t>
      </w:r>
      <w:r w:rsidR="00ED3D3C">
        <w:rPr>
          <w:b/>
          <w:bCs/>
        </w:rPr>
        <w:t>&amp;</w:t>
      </w:r>
      <w:r w:rsidR="003629A9">
        <w:rPr>
          <w:b/>
          <w:bCs/>
        </w:rPr>
        <w:t xml:space="preserve"> petite enfance</w:t>
      </w:r>
      <w:r>
        <w:rPr>
          <w:b/>
          <w:bCs/>
        </w:rPr>
        <w:t> </w:t>
      </w:r>
      <w:r w:rsidRPr="000A46D6">
        <w:t>:</w:t>
      </w:r>
      <w:r>
        <w:t xml:space="preserve"> Avec p</w:t>
      </w:r>
      <w:r w:rsidR="002D2D82">
        <w:t>lus</w:t>
      </w:r>
      <w:r>
        <w:t xml:space="preserve"> de </w:t>
      </w:r>
      <w:r w:rsidR="002D2D82">
        <w:t>25</w:t>
      </w:r>
      <w:r>
        <w:t xml:space="preserve">.000 documents, les albums sont le poids lourd </w:t>
      </w:r>
      <w:r w:rsidR="003629A9">
        <w:t>des collections de la BDLA. Notre offre est la hauteur de la demande du réseau très importante pour ce domaine.</w:t>
      </w:r>
      <w:r w:rsidR="002D2D82">
        <w:br/>
        <w:t>Pour la 2</w:t>
      </w:r>
      <w:r w:rsidR="002D2D82" w:rsidRPr="002D2D82">
        <w:rPr>
          <w:vertAlign w:val="superscript"/>
        </w:rPr>
        <w:t>e</w:t>
      </w:r>
      <w:r w:rsidR="002D2D82">
        <w:t xml:space="preserve"> année consécutive, le nombre d’albums en prêt subit une baisse très importante (-9,7% après -8,1% en 2024) bien supérieure au reste des collections ou des livres jeunesse.</w:t>
      </w:r>
      <w:r w:rsidR="002D2D82">
        <w:br/>
        <w:t>Cela conduit à une diminution importante des collections qui ont diminué de 18% depuis 2021. Malgré tout, les collections albums ont toujours un aspect tassé permettant peu de facing et posant régulièrement des problèmes pour le rangement. Ce n’est pas tant un problème de nombre de documents désherbé</w:t>
      </w:r>
      <w:r w:rsidR="00357B8F">
        <w:t>s</w:t>
      </w:r>
      <w:r w:rsidR="002D2D82">
        <w:t xml:space="preserve"> (qui est très important) que de méthodologie. Il serait certainement pertinent d’anticiper davantage le désherbage </w:t>
      </w:r>
      <w:r w:rsidR="00357B8F">
        <w:t xml:space="preserve">pour mieux aérer les rayonnages et permettre plus de facing. Le taux de prêt inférieur à la moyenne (67,6% contre 74,4%) et l’âge réel supérieur à la moyenne (8,7 contre 7,9 pour les livres jeunesse) permettent d’envisager une diminution plus importante des collections qui permettra une bien meilleure mise en valeur susceptible d’inverser la tendance de la baisse des prêts. </w:t>
      </w:r>
      <w:r w:rsidR="00357B8F">
        <w:br/>
      </w:r>
      <w:r w:rsidR="000248D1">
        <w:t xml:space="preserve">Les albums petite enfance restent très demandés (taux de prêt de </w:t>
      </w:r>
      <w:r w:rsidR="00357B8F">
        <w:t>82</w:t>
      </w:r>
      <w:r w:rsidR="000248D1">
        <w:t xml:space="preserve">%) même s’ils ont connu </w:t>
      </w:r>
      <w:r w:rsidR="000248D1">
        <w:lastRenderedPageBreak/>
        <w:t>eux aussi une</w:t>
      </w:r>
      <w:r w:rsidR="00066978">
        <w:t xml:space="preserve"> importante</w:t>
      </w:r>
      <w:r w:rsidR="000248D1">
        <w:t xml:space="preserve"> diminution de 1</w:t>
      </w:r>
      <w:r w:rsidR="00357B8F">
        <w:t>2</w:t>
      </w:r>
      <w:r w:rsidR="000248D1">
        <w:t>%</w:t>
      </w:r>
      <w:r w:rsidR="00357B8F">
        <w:t xml:space="preserve"> après -10% en 2024</w:t>
      </w:r>
      <w:r w:rsidR="000248D1">
        <w:t xml:space="preserve">. </w:t>
      </w:r>
      <w:r w:rsidR="00357B8F">
        <w:t>Les acquisitions de ces derniers peuvent légèrement diminuer en 2026</w:t>
      </w:r>
      <w:r w:rsidR="000248D1">
        <w:t>.</w:t>
      </w:r>
      <w:r w:rsidR="002048E6">
        <w:t xml:space="preserve"> </w:t>
      </w:r>
      <w:r w:rsidR="002048E6">
        <w:br/>
      </w:r>
    </w:p>
    <w:p w14:paraId="66631C36" w14:textId="27931D46" w:rsidR="00DA086C" w:rsidRDefault="00890C01" w:rsidP="00BA09E6">
      <w:pPr>
        <w:pStyle w:val="Paragraphedeliste"/>
        <w:numPr>
          <w:ilvl w:val="0"/>
          <w:numId w:val="1"/>
        </w:numPr>
      </w:pPr>
      <w:r>
        <w:rPr>
          <w:b/>
          <w:bCs/>
        </w:rPr>
        <w:t xml:space="preserve">Livres animés </w:t>
      </w:r>
      <w:r w:rsidR="00ED3D3C">
        <w:rPr>
          <w:b/>
          <w:bCs/>
        </w:rPr>
        <w:t>&amp;</w:t>
      </w:r>
      <w:r>
        <w:rPr>
          <w:b/>
          <w:bCs/>
        </w:rPr>
        <w:t xml:space="preserve"> albums grand format </w:t>
      </w:r>
      <w:r w:rsidRPr="00890C01">
        <w:t>:</w:t>
      </w:r>
      <w:r>
        <w:t xml:space="preserve"> il s’agit de micro sous-domaines de l’album qui ne font pas l’objet d’objectifs d’acquisition spécifiques (il s’agit plus d’un lieu de classement en fonction des propriétés physiques de l’album).</w:t>
      </w:r>
      <w:r w:rsidR="008C4362">
        <w:br/>
      </w:r>
    </w:p>
    <w:p w14:paraId="2C6F3A13" w14:textId="6696B1F2" w:rsidR="00DA086C" w:rsidRDefault="00DA086C" w:rsidP="00BA09E6">
      <w:pPr>
        <w:pStyle w:val="Paragraphedeliste"/>
        <w:numPr>
          <w:ilvl w:val="0"/>
          <w:numId w:val="1"/>
        </w:numPr>
      </w:pPr>
      <w:r>
        <w:rPr>
          <w:b/>
          <w:bCs/>
        </w:rPr>
        <w:t xml:space="preserve">BD jeunesse </w:t>
      </w:r>
      <w:r w:rsidRPr="00DA086C">
        <w:t>:</w:t>
      </w:r>
      <w:r>
        <w:t xml:space="preserve">  </w:t>
      </w:r>
      <w:r w:rsidR="00C4384A">
        <w:t>La situation des BD jeunesse est paradoxale. Elles restent un des fonds les plus demandés de la BDLA (taux de prêt de 83,2%) mais c’est aussi celui dont le nombre de prêts a le plus diminué en 2025 (-13,5%). Cela fait suite à une année 2024 déjà assez mauvaise (-8,9%). Il s’agit d’un fonds assez jeune (6,7 ans d’âge réel) qui est à l’étroit depuis de nombreuses années. La réorganisation des magasins en 2026 va permettre de lui donner plus de place, une meilleure cohérence (proximité des BD ados et adultes et des mangas) et de s’étoffer. Si la tendance baissière se poursuit, cela peut être un signe de basculement vers le manga. Il faudra alors progressivement diminuer les acquisitions au profit des mangas. Pour 2026 on laisse les acquisitions en l’état, mais à réévaluer en 2027 après le réaménagement.</w:t>
      </w:r>
      <w:r w:rsidR="00C4384A">
        <w:br/>
      </w:r>
    </w:p>
    <w:p w14:paraId="59D2526F" w14:textId="2C0BED96" w:rsidR="0093067A" w:rsidRDefault="00DA086C" w:rsidP="00BA09E6">
      <w:pPr>
        <w:pStyle w:val="Paragraphedeliste"/>
        <w:numPr>
          <w:ilvl w:val="0"/>
          <w:numId w:val="1"/>
        </w:numPr>
      </w:pPr>
      <w:r>
        <w:rPr>
          <w:b/>
          <w:bCs/>
        </w:rPr>
        <w:t>Manga jeunesse &amp; séries longues </w:t>
      </w:r>
      <w:r w:rsidRPr="00DA086C">
        <w:t>:</w:t>
      </w:r>
      <w:r>
        <w:t xml:space="preserve"> le manga jeunesse est de loin le fonds le plus demandé de la BDLA avec un taux de prêt de </w:t>
      </w:r>
      <w:r w:rsidR="00254A36">
        <w:t>90</w:t>
      </w:r>
      <w:r w:rsidR="00332367">
        <w:t>,6</w:t>
      </w:r>
      <w:r>
        <w:t>%. Malgré des collections conséquentes de p</w:t>
      </w:r>
      <w:r w:rsidR="00EE21F0">
        <w:t>lus</w:t>
      </w:r>
      <w:r>
        <w:t xml:space="preserve"> de 6.</w:t>
      </w:r>
      <w:r w:rsidR="00254A36">
        <w:t>2</w:t>
      </w:r>
      <w:r>
        <w:t>00 documents, on peine à en trouver des disponibles à la BDLA</w:t>
      </w:r>
      <w:r w:rsidR="00254A36">
        <w:t>.</w:t>
      </w:r>
      <w:r w:rsidR="00EE21F0">
        <w:t xml:space="preserve"> Depuis 2022</w:t>
      </w:r>
      <w:r w:rsidR="00D57E0A">
        <w:t xml:space="preserve"> nous </w:t>
      </w:r>
      <w:r w:rsidR="00D26C72">
        <w:t>fournissons</w:t>
      </w:r>
      <w:r w:rsidR="00EE21F0">
        <w:t xml:space="preserve"> </w:t>
      </w:r>
      <w:r w:rsidR="00D57E0A">
        <w:t xml:space="preserve">un effort d’acquisitions exceptionnel </w:t>
      </w:r>
      <w:r w:rsidR="00EE21F0">
        <w:t>sur le manga. En 202</w:t>
      </w:r>
      <w:r w:rsidR="00332367">
        <w:t>4</w:t>
      </w:r>
      <w:r w:rsidR="00EE21F0">
        <w:t xml:space="preserve"> nous avons acheté </w:t>
      </w:r>
      <w:r w:rsidR="00254A36">
        <w:t>710</w:t>
      </w:r>
      <w:r w:rsidR="00EE21F0">
        <w:t xml:space="preserve"> mangas jeunesse</w:t>
      </w:r>
      <w:r w:rsidR="00254A36">
        <w:t>. Si on additionne tous les mangas achetés en 2025 (jeunesse, ados, adultes, séries longues) on arrive à près de 1400 mangas achetés en 2025</w:t>
      </w:r>
      <w:r w:rsidR="009C3AC0">
        <w:t>.</w:t>
      </w:r>
      <w:r w:rsidR="00254A36">
        <w:t xml:space="preserve"> Paradoxalement, si tous les autres segments du manga augmentent, les mangas jeunesse ont vu leur nombre diminuer (-260)</w:t>
      </w:r>
      <w:r w:rsidR="00EE21F0">
        <w:t>. C’est que même s’il est encore jeune (6,1 ans) le fonds mangas commence à vieillir et il est nécessaire de faire du désherbage.</w:t>
      </w:r>
      <w:r w:rsidR="00254A36">
        <w:t xml:space="preserve"> En 2026, il faudra privilégier l’achat de mangas jeunesse aux séries longues. C’est que ces dernières ne permettent pas d’étoffer nos rayonnages et ne permettent pas d’améliorer l’expérience des bibliothèques qui viennent faire du choix sur place.</w:t>
      </w:r>
      <w:r w:rsidR="00EE21F0">
        <w:br/>
      </w:r>
      <w:r w:rsidR="009C3AC0">
        <w:t>Compte tenu de la demande considérable et de l’importance stratégique de ce fonds pour le dévelo</w:t>
      </w:r>
      <w:r w:rsidR="002D6DB6">
        <w:t xml:space="preserve">ppement de la lecture chez les enfants et les adolescents, cet effort </w:t>
      </w:r>
      <w:r w:rsidR="005D7A3F">
        <w:t>d</w:t>
      </w:r>
      <w:r w:rsidR="002D6DB6">
        <w:t>oit être prolongé en 202</w:t>
      </w:r>
      <w:r w:rsidR="00020584">
        <w:t>6</w:t>
      </w:r>
      <w:r w:rsidR="002D6DB6">
        <w:t xml:space="preserve"> au minimum jusqu’à ce qu’on soit en mesure de proposer une offre décente pour le choix sur place. </w:t>
      </w:r>
      <w:r w:rsidR="00254A36">
        <w:br/>
        <w:t>En 2026, suite à la réorganisation des magasins, tous les mangas seront réunis avec les BD et gagneront en espace.</w:t>
      </w:r>
      <w:r w:rsidR="002D6DB6">
        <w:br/>
      </w:r>
    </w:p>
    <w:p w14:paraId="76DC1714" w14:textId="43C6B92E" w:rsidR="00EB2A38" w:rsidRDefault="0014070D" w:rsidP="00BA09E6">
      <w:pPr>
        <w:pStyle w:val="Paragraphedeliste"/>
        <w:numPr>
          <w:ilvl w:val="0"/>
          <w:numId w:val="1"/>
        </w:numPr>
      </w:pPr>
      <w:r w:rsidRPr="0014070D">
        <w:rPr>
          <w:b/>
          <w:bCs/>
        </w:rPr>
        <w:t>Théâtre et poésie jeunesse</w:t>
      </w:r>
      <w:r>
        <w:t xml:space="preserve"> : </w:t>
      </w:r>
      <w:r w:rsidR="00D26C72">
        <w:t>Ces 2 domaines</w:t>
      </w:r>
      <w:r w:rsidR="00506882">
        <w:t xml:space="preserve"> sont t</w:t>
      </w:r>
      <w:r>
        <w:t>rès âgés (respectivement 1</w:t>
      </w:r>
      <w:r w:rsidR="00254A36">
        <w:t>1</w:t>
      </w:r>
      <w:r w:rsidR="00D26C72">
        <w:t>,</w:t>
      </w:r>
      <w:r w:rsidR="00254A36">
        <w:t>8</w:t>
      </w:r>
      <w:r>
        <w:t xml:space="preserve"> et 1</w:t>
      </w:r>
      <w:r w:rsidR="00254A36">
        <w:t>2</w:t>
      </w:r>
      <w:r>
        <w:t>,</w:t>
      </w:r>
      <w:r w:rsidR="00254A36">
        <w:t>7</w:t>
      </w:r>
      <w:r>
        <w:t xml:space="preserve"> ans) avec un taux de prêt faible (environ </w:t>
      </w:r>
      <w:r w:rsidR="00254A36">
        <w:t>27</w:t>
      </w:r>
      <w:r>
        <w:t xml:space="preserve">% pour le théâtre et </w:t>
      </w:r>
      <w:r w:rsidR="00506882">
        <w:t>4</w:t>
      </w:r>
      <w:r w:rsidR="00254A36">
        <w:t>9</w:t>
      </w:r>
      <w:r>
        <w:t xml:space="preserve">% pour la poésie). </w:t>
      </w:r>
      <w:r w:rsidR="00DC54F0">
        <w:t>L’âge élevé et le taux de prêt faible plaident encore pour une diminution en volume de ces collections.</w:t>
      </w:r>
      <w:r w:rsidR="00254A36">
        <w:t xml:space="preserve"> En 2026, </w:t>
      </w:r>
      <w:r w:rsidR="00020584">
        <w:t>avec</w:t>
      </w:r>
      <w:r w:rsidR="00254A36">
        <w:t xml:space="preserve"> le réaménagement des magasins, la poésie et le théâtre vont passer de 3 à 2 travées, ce qui va nécessiter un désherbage important. Compte tenu du faible taux de prêt et de l’âge élevé, ces deux domaines peuvent largement se le permettre.</w:t>
      </w:r>
      <w:r w:rsidR="00EB2A38">
        <w:br/>
      </w:r>
    </w:p>
    <w:p w14:paraId="48EE1026" w14:textId="682D4925" w:rsidR="00EB2A38" w:rsidRDefault="00EB2A38" w:rsidP="00BA09E6">
      <w:pPr>
        <w:pStyle w:val="Paragraphedeliste"/>
        <w:numPr>
          <w:ilvl w:val="0"/>
          <w:numId w:val="1"/>
        </w:numPr>
      </w:pPr>
      <w:r>
        <w:rPr>
          <w:b/>
          <w:bCs/>
        </w:rPr>
        <w:t>Comptines jeunesse </w:t>
      </w:r>
      <w:r w:rsidRPr="00EB2A38">
        <w:t>:</w:t>
      </w:r>
      <w:r>
        <w:t xml:space="preserve"> Le domaine des comptines </w:t>
      </w:r>
      <w:r w:rsidR="00DC54F0">
        <w:t>est assez dynamique. Entre 2021 et 202</w:t>
      </w:r>
      <w:r w:rsidR="00254A36">
        <w:t>5</w:t>
      </w:r>
      <w:r w:rsidR="00DC54F0">
        <w:t>, les prêts ont progressé de 1</w:t>
      </w:r>
      <w:r w:rsidR="00254A36">
        <w:t>1</w:t>
      </w:r>
      <w:r w:rsidR="00DC54F0">
        <w:t xml:space="preserve">% (contre une baisse de </w:t>
      </w:r>
      <w:r w:rsidR="00254A36">
        <w:t>11</w:t>
      </w:r>
      <w:r w:rsidR="00DC54F0">
        <w:t>% pour les livres jeunesse)</w:t>
      </w:r>
      <w:r w:rsidR="00254A36">
        <w:t>. En 2026, les comptines seront regroupées avec tous les documents sonores jeuness</w:t>
      </w:r>
      <w:r w:rsidR="004B1192">
        <w:t>e dans le magasin haut, à proximité des autres collections jeunesse, ce qui pourra améliorer leur visibilité.</w:t>
      </w:r>
      <w:r w:rsidR="00C81D1C">
        <w:br/>
      </w:r>
    </w:p>
    <w:p w14:paraId="37B92065" w14:textId="14C7EF3D" w:rsidR="009305D6" w:rsidRDefault="00AE3110" w:rsidP="00BA09E6">
      <w:pPr>
        <w:pStyle w:val="Paragraphedeliste"/>
        <w:numPr>
          <w:ilvl w:val="0"/>
          <w:numId w:val="1"/>
        </w:numPr>
      </w:pPr>
      <w:r>
        <w:rPr>
          <w:b/>
          <w:bCs/>
        </w:rPr>
        <w:lastRenderedPageBreak/>
        <w:t>Livres en braille</w:t>
      </w:r>
      <w:r w:rsidR="001B547E">
        <w:rPr>
          <w:b/>
          <w:bCs/>
        </w:rPr>
        <w:t xml:space="preserve">, </w:t>
      </w:r>
      <w:r>
        <w:rPr>
          <w:b/>
          <w:bCs/>
        </w:rPr>
        <w:t>fonds dys</w:t>
      </w:r>
      <w:r w:rsidR="001B547E">
        <w:rPr>
          <w:b/>
          <w:bCs/>
        </w:rPr>
        <w:t xml:space="preserve"> et Facile à lire</w:t>
      </w:r>
      <w:r>
        <w:rPr>
          <w:b/>
          <w:bCs/>
        </w:rPr>
        <w:t xml:space="preserve"> : </w:t>
      </w:r>
      <w:r>
        <w:t xml:space="preserve">ces </w:t>
      </w:r>
      <w:r w:rsidR="001B547E">
        <w:t>3</w:t>
      </w:r>
      <w:r>
        <w:t xml:space="preserve"> domaines ont en commun de répondre à l’objectif de lien culture-social du département.</w:t>
      </w:r>
      <w:r w:rsidR="001B547E">
        <w:t xml:space="preserve"> Ils ont été regroupés en 2023 dans un rayon « lire autrement ». À</w:t>
      </w:r>
      <w:r>
        <w:t xml:space="preserve"> ce titre leur développement dépasse la simple adéquation entre l’offre de la BDLA et la demande du réseau. Les livres en braille sont achetés depuis assez longtemps maintenant, tandis que le fonds dys est très récent</w:t>
      </w:r>
      <w:r w:rsidR="001B547E">
        <w:t xml:space="preserve"> et le fonds facile à lire a été créé en 2023</w:t>
      </w:r>
      <w:r w:rsidR="003909E9">
        <w:t>.</w:t>
      </w:r>
      <w:r w:rsidR="003909E9">
        <w:br/>
        <w:t xml:space="preserve">Avec un taux de prêt de </w:t>
      </w:r>
      <w:r w:rsidR="00DE14BD">
        <w:t>65,7</w:t>
      </w:r>
      <w:r w:rsidR="003909E9">
        <w:t xml:space="preserve">%, les </w:t>
      </w:r>
      <w:r w:rsidR="003909E9" w:rsidRPr="00B2678E">
        <w:rPr>
          <w:b/>
          <w:bCs/>
        </w:rPr>
        <w:t xml:space="preserve">livres en </w:t>
      </w:r>
      <w:r w:rsidR="00B2678E" w:rsidRPr="00B2678E">
        <w:rPr>
          <w:b/>
          <w:bCs/>
        </w:rPr>
        <w:t>braille</w:t>
      </w:r>
      <w:r w:rsidR="003909E9">
        <w:t xml:space="preserve"> ne sont pas extrêmement demandés</w:t>
      </w:r>
      <w:r w:rsidR="00DC71E5">
        <w:t xml:space="preserve">, </w:t>
      </w:r>
      <w:r w:rsidR="00DE14BD">
        <w:t>mais</w:t>
      </w:r>
      <w:r w:rsidR="005542C6">
        <w:t xml:space="preserve"> comme</w:t>
      </w:r>
      <w:r w:rsidR="00DE14BD">
        <w:t xml:space="preserve"> le fonds est très petit, il peut arriver qu’une demande simultanée de quelques bibliothèques mette le fonds en tension. C’est ce qui est arrivé en 2025, ce qui a nécessité une commande exceptionnelle. Mais depuis la « fièvre » est tombée et la situation est revenue à la normale</w:t>
      </w:r>
      <w:r w:rsidR="00DC71E5">
        <w:t>. Les acquisitions actuelles (une dizaine de titres) semblent bien calibrées.</w:t>
      </w:r>
      <w:r w:rsidR="00DC71E5">
        <w:br/>
        <w:t xml:space="preserve">Le fonds </w:t>
      </w:r>
      <w:r w:rsidR="00DC71E5" w:rsidRPr="00B2678E">
        <w:rPr>
          <w:b/>
          <w:bCs/>
        </w:rPr>
        <w:t>dys</w:t>
      </w:r>
      <w:r w:rsidR="00DC71E5">
        <w:t>, lui, continue à croître, tant en nombre d’exemplaires (+1</w:t>
      </w:r>
      <w:r w:rsidR="00DE14BD">
        <w:t>59</w:t>
      </w:r>
      <w:r w:rsidR="00DC71E5">
        <w:t xml:space="preserve"> en 202</w:t>
      </w:r>
      <w:r w:rsidR="00DE14BD">
        <w:t>5</w:t>
      </w:r>
      <w:r w:rsidR="00DC71E5">
        <w:t>) qu’en nombre de prêts (+</w:t>
      </w:r>
      <w:r w:rsidR="00DE14BD">
        <w:t>84</w:t>
      </w:r>
      <w:r w:rsidR="00DC71E5">
        <w:t>). Il s’agit d’un fonds en cours de constitution dont l’offre peine encore à satisfaire la demande</w:t>
      </w:r>
      <w:r w:rsidR="00DE14BD">
        <w:t xml:space="preserve"> même si la situation s’</w:t>
      </w:r>
      <w:r w:rsidR="00B2678E">
        <w:t>améliore</w:t>
      </w:r>
      <w:r w:rsidR="00DE14BD">
        <w:t xml:space="preserve"> doucement </w:t>
      </w:r>
      <w:r w:rsidR="00DC71E5">
        <w:t xml:space="preserve"> (taux de prêt de </w:t>
      </w:r>
      <w:r w:rsidR="00DE14BD">
        <w:t xml:space="preserve">82,5% contre </w:t>
      </w:r>
      <w:r w:rsidR="00DC71E5">
        <w:t>86,7%</w:t>
      </w:r>
      <w:r w:rsidR="00DE14BD">
        <w:t xml:space="preserve"> en 2024</w:t>
      </w:r>
      <w:r w:rsidR="00DC71E5">
        <w:t xml:space="preserve">). </w:t>
      </w:r>
      <w:r w:rsidR="00DE14BD">
        <w:t xml:space="preserve">Cependant, le budget qui avait été sanctuarisé en 2024 n’a pas pu être dépensé faute de production. Il sera donc légèrement diminué en 2026. </w:t>
      </w:r>
      <w:r w:rsidR="00B2678E">
        <w:br/>
      </w:r>
      <w:r w:rsidR="00DC71E5" w:rsidRPr="00B2678E">
        <w:t xml:space="preserve">Dernier arrivé de </w:t>
      </w:r>
      <w:r w:rsidR="00DC71E5">
        <w:t xml:space="preserve">ces fonds, le fonds </w:t>
      </w:r>
      <w:r w:rsidR="00DC71E5" w:rsidRPr="00B2678E">
        <w:rPr>
          <w:b/>
          <w:bCs/>
        </w:rPr>
        <w:t>Facile à lire</w:t>
      </w:r>
      <w:r w:rsidR="00DC71E5">
        <w:t xml:space="preserve"> continue également son développement avec une augmentation du nombre d’exemplaires (+</w:t>
      </w:r>
      <w:r w:rsidR="00B2678E">
        <w:t>122</w:t>
      </w:r>
      <w:r w:rsidR="00DC71E5">
        <w:t>)</w:t>
      </w:r>
      <w:r w:rsidR="00B2678E">
        <w:t>. En revanche, en 2025, les prêts n’ont pas suivi</w:t>
      </w:r>
      <w:r w:rsidR="00DC71E5">
        <w:t xml:space="preserve"> (</w:t>
      </w:r>
      <w:r w:rsidR="00B2678E">
        <w:t>-25</w:t>
      </w:r>
      <w:r w:rsidR="00DC71E5">
        <w:t>)</w:t>
      </w:r>
      <w:r w:rsidR="00B2678E">
        <w:t>, et le</w:t>
      </w:r>
      <w:r w:rsidR="00DC71E5">
        <w:t xml:space="preserve"> taux de prêt </w:t>
      </w:r>
      <w:r w:rsidR="00B2678E">
        <w:t>passe de</w:t>
      </w:r>
      <w:r w:rsidR="00DE14BD">
        <w:t xml:space="preserve"> 82,5% </w:t>
      </w:r>
      <w:r w:rsidR="00B2678E">
        <w:t>à moins de 65% ce qui est assez décevant. La première phase d’évangélisation du FAL en Loire-Atlantique (essentiellement basée sur la formation) semble s’essouffler, et il semble nécessaire de passer à une seconde phase plus incitative</w:t>
      </w:r>
      <w:r w:rsidR="003974D7">
        <w:t>. En 202</w:t>
      </w:r>
      <w:r w:rsidR="00B2678E">
        <w:t>6</w:t>
      </w:r>
      <w:r w:rsidR="003974D7">
        <w:t xml:space="preserve">, nous avons pour objectif de proposer un répertoire d’animations « clef en main » pour accompagner les collections. </w:t>
      </w:r>
      <w:r w:rsidR="00B2678E">
        <w:t>En attendant que la demande décolle pour ces collections, le budget a été légèrement diminué en 2026.</w:t>
      </w:r>
      <w:r w:rsidR="009305D6">
        <w:br/>
      </w:r>
    </w:p>
    <w:p w14:paraId="0700267F" w14:textId="6A4F0E24" w:rsidR="00CD60B9" w:rsidRDefault="009305D6" w:rsidP="00BA09E6">
      <w:pPr>
        <w:pStyle w:val="Paragraphedeliste"/>
        <w:numPr>
          <w:ilvl w:val="0"/>
          <w:numId w:val="1"/>
        </w:numPr>
      </w:pPr>
      <w:r>
        <w:rPr>
          <w:b/>
          <w:bCs/>
        </w:rPr>
        <w:t>Contes jeunesse :</w:t>
      </w:r>
      <w:r w:rsidR="00E35B60" w:rsidRPr="00703907">
        <w:t xml:space="preserve"> </w:t>
      </w:r>
      <w:r w:rsidR="00703907" w:rsidRPr="00703907">
        <w:t>Les contes ont assez bien résisté</w:t>
      </w:r>
      <w:r w:rsidR="00703907">
        <w:t xml:space="preserve"> au mouvement baissier qui a touché les collections jeunesse en 2026 (-0,7% contre -5,4). Ils demeurent malgré tout un fonds âgé (9,9 âge réel) et peu emprunté (taux de prêt de 66,2) qui gagnerait à être davantage désherbé et mieux mis en valeur. Les acquisitions sont un peu faibles – même en prenant en considération une diminution du fonds – mais nous ne sommes pas en mesure de les augmenter en 2026. </w:t>
      </w:r>
      <w:r w:rsidR="00437BB2">
        <w:br/>
      </w:r>
    </w:p>
    <w:p w14:paraId="154EC271" w14:textId="66845FAB" w:rsidR="004056A6" w:rsidRDefault="00CD60B9" w:rsidP="00BA09E6">
      <w:pPr>
        <w:pStyle w:val="Paragraphedeliste"/>
        <w:numPr>
          <w:ilvl w:val="0"/>
          <w:numId w:val="1"/>
        </w:numPr>
      </w:pPr>
      <w:r>
        <w:rPr>
          <w:b/>
          <w:bCs/>
        </w:rPr>
        <w:t>Documentaires jeunesse :</w:t>
      </w:r>
      <w:r>
        <w:t xml:space="preserve"> </w:t>
      </w:r>
      <w:r w:rsidR="00B91C8E">
        <w:t xml:space="preserve">Les documentaires jeunesse ont subi une baisse des prêts assez importante en 2025 (-9,7%) supérieure à la moyenne des livres jeunesse. Le taux de prêt (72,9%) est passée sous la moyenne, sans que cela soit catastrophique. Il faudra attendre l’année prochaine pour voir si cette tendance se confirme. Ce fonds est un peu plus âgé que la moyenne, mais cet âge s’est stabilisé à 8,4 ans (contre 7,9 pour la moyenne des livres </w:t>
      </w:r>
      <w:r w:rsidR="00D5466E">
        <w:t>jeunesse</w:t>
      </w:r>
      <w:r w:rsidR="00B91C8E">
        <w:t>). L’âge théorique (10,4) est supérieur à la moyenne BDLA (9) et pourrait justifier une augmentation des acquisitions, même en prenant en compte une petite diminution du fonds possible, mais ce ne sera pas possible en 2026.</w:t>
      </w:r>
      <w:r w:rsidR="00B91C8E">
        <w:br/>
      </w:r>
      <w:r w:rsidR="007536FE">
        <w:t>Si on regarde le détail</w:t>
      </w:r>
      <w:r w:rsidR="00061993">
        <w:t>,</w:t>
      </w:r>
      <w:r w:rsidR="007536FE">
        <w:t xml:space="preserve"> </w:t>
      </w:r>
      <w:r w:rsidR="00061993">
        <w:t>l</w:t>
      </w:r>
      <w:r w:rsidR="007536FE">
        <w:t>es sous-domaines</w:t>
      </w:r>
      <w:r w:rsidR="0029630D">
        <w:t xml:space="preserve"> ayant le taux de prêt le plus important sont les</w:t>
      </w:r>
      <w:r w:rsidR="00B91C8E">
        <w:t xml:space="preserve"> média</w:t>
      </w:r>
      <w:r w:rsidR="005542C6">
        <w:t>s</w:t>
      </w:r>
      <w:r w:rsidR="00B91C8E">
        <w:t>, les sports et jeux, la psychologie, les religions et les loisirs créatifs</w:t>
      </w:r>
      <w:r w:rsidR="0029630D">
        <w:t xml:space="preserve">. A l’autre bout du spectre, les langues et la </w:t>
      </w:r>
      <w:r w:rsidR="00805A9C">
        <w:t>géographie</w:t>
      </w:r>
      <w:r w:rsidR="0029630D">
        <w:t xml:space="preserve"> sont moins demandés.</w:t>
      </w:r>
      <w:r w:rsidR="0029630D">
        <w:br/>
        <w:t>Il n’est pas toujours facile d’adapter les collections et les acquisitions à l</w:t>
      </w:r>
      <w:r w:rsidR="00061993">
        <w:t>a</w:t>
      </w:r>
      <w:r w:rsidR="0029630D">
        <w:t xml:space="preserve"> demande du réseau, d’une part car la production éditoriale est très irrégulière et d’autre part en raison des contraintes d’espace du rayon. Néanmoins, si on fait abstraction de ces difficultés, il pourrait être pertinent de diminuer l’espace occupé en rayon par</w:t>
      </w:r>
      <w:r w:rsidR="00805A9C">
        <w:t xml:space="preserve"> </w:t>
      </w:r>
      <w:r w:rsidR="0029630D">
        <w:t xml:space="preserve">la géographie, et à </w:t>
      </w:r>
      <w:r w:rsidR="0029630D">
        <w:lastRenderedPageBreak/>
        <w:t xml:space="preserve">l’inverse, augmenter la place occupée par les </w:t>
      </w:r>
      <w:r w:rsidR="00805A9C">
        <w:t>000-100-200</w:t>
      </w:r>
      <w:r w:rsidR="0029630D">
        <w:t xml:space="preserve">, </w:t>
      </w:r>
      <w:r w:rsidR="00805A9C">
        <w:t>les sports et jeux et</w:t>
      </w:r>
      <w:r w:rsidR="0029630D">
        <w:t xml:space="preserve"> les loisirs créatifs.</w:t>
      </w:r>
      <w:r w:rsidR="00805A9C">
        <w:t xml:space="preserve"> La réorganisation des magasins qui aura lieu en 2026 pourrait être l’occasion de cette redistribution (qui reste de faible ampleur).</w:t>
      </w:r>
      <w:r w:rsidR="0029630D">
        <w:t xml:space="preserve"> Concernant les acquisitions, on pourrait diminuer</w:t>
      </w:r>
      <w:r w:rsidR="00805A9C">
        <w:t xml:space="preserve"> l’informatique, la faune et la flore, et les sports et jeux et augmenter la philosophie, le jardinage, </w:t>
      </w:r>
      <w:r w:rsidR="005404FC">
        <w:t xml:space="preserve">et les loisirs </w:t>
      </w:r>
      <w:r w:rsidR="005542C6">
        <w:t>créatifs.</w:t>
      </w:r>
      <w:r w:rsidR="0029630D">
        <w:t xml:space="preserve"> </w:t>
      </w:r>
      <w:r w:rsidR="004056A6">
        <w:br/>
      </w:r>
    </w:p>
    <w:p w14:paraId="7A7D90B2" w14:textId="3B15FE85" w:rsidR="00C46BAD" w:rsidRDefault="004056A6" w:rsidP="00BA09E6">
      <w:pPr>
        <w:pStyle w:val="Paragraphedeliste"/>
        <w:numPr>
          <w:ilvl w:val="0"/>
          <w:numId w:val="1"/>
        </w:numPr>
      </w:pPr>
      <w:r>
        <w:rPr>
          <w:b/>
          <w:bCs/>
        </w:rPr>
        <w:t>CD &amp; livres CD adultes :</w:t>
      </w:r>
      <w:r>
        <w:t xml:space="preserve"> </w:t>
      </w:r>
      <w:r w:rsidR="003E71A7">
        <w:t>Les CD adultes font preuve d’un dynamisme étonnant. Alors qu’on pourrait s’attendre à ce que ce support disparaisse progressivement, les prêts ont augmenté de plus de 2% là où ceux des livres ont diminué de 4%. Avec un âge réel de 7,3 ans, les CDA sont désormais arrivés en vitesse de croisière, mais leur taux d’emprunt plaide pour une augmentation du fonds.</w:t>
      </w:r>
      <w:r w:rsidR="00C57711">
        <w:t xml:space="preserve"> Le budget a été légèrement augmenté en 2026</w:t>
      </w:r>
      <w:r w:rsidR="003E71A7">
        <w:t>. En 2026, les CDA seront rapprochés des romans adultes, ce qui permettra d’améliorer leur visibilité. La question se pose de la place à leur fournir. Actuellement, 4 tiroirs ne sont pas occupés. Faudra-t-il les stocker sur 9 tiroirs (ce qui suffit largement actuellement mais offre peu de marge de développement) ou 12 tiroirs (mais on perd de la place dans l’immédiat) ?</w:t>
      </w:r>
      <w:r w:rsidR="003E71A7">
        <w:br/>
      </w:r>
      <w:r w:rsidR="00C46BAD">
        <w:br/>
      </w:r>
    </w:p>
    <w:p w14:paraId="758BAFB0" w14:textId="2C652634" w:rsidR="00EA705B" w:rsidRDefault="00C46BAD" w:rsidP="00BA09E6">
      <w:pPr>
        <w:pStyle w:val="Paragraphedeliste"/>
        <w:numPr>
          <w:ilvl w:val="0"/>
          <w:numId w:val="1"/>
        </w:numPr>
      </w:pPr>
      <w:r>
        <w:rPr>
          <w:b/>
          <w:bCs/>
        </w:rPr>
        <w:t>CD &amp; livres CD jeunesse :</w:t>
      </w:r>
      <w:r>
        <w:t xml:space="preserve"> </w:t>
      </w:r>
      <w:r w:rsidR="00EA705B">
        <w:t xml:space="preserve">Les CD &amp; livres CD jeunesse sont un fonds assez âgé et un peu moins demandé que la moyenne, ce qui plaide pour une légère diminution du fonds en volume. </w:t>
      </w:r>
      <w:r w:rsidR="00E77A25">
        <w:t xml:space="preserve">Les acquisitions avaient été augmentées en 2023 pour enrayer le vieillissement du fonds. </w:t>
      </w:r>
      <w:r w:rsidR="00C57711">
        <w:t>En 2026, on a acheté presque exclusivement des livres CD (et pas de CD)</w:t>
      </w:r>
      <w:r w:rsidR="00244C3E">
        <w:t>.</w:t>
      </w:r>
      <w:r w:rsidR="00C57711">
        <w:t xml:space="preserve"> Ces 2 fonds divergent de plus en plus. Faudra-t-il continuer à alimenter le fonds de CD ? En 2026, les sonores jeunesse vont réintégrer le reste des collections jeunesse, ce qui devrait permettre d’améliorer leur visibilité.</w:t>
      </w:r>
      <w:r w:rsidR="00EA705B">
        <w:br/>
      </w:r>
    </w:p>
    <w:p w14:paraId="563B5999" w14:textId="4897AB01" w:rsidR="00CA58A6" w:rsidRDefault="00EA705B" w:rsidP="00BA09E6">
      <w:pPr>
        <w:pStyle w:val="Paragraphedeliste"/>
        <w:numPr>
          <w:ilvl w:val="0"/>
          <w:numId w:val="1"/>
        </w:numPr>
      </w:pPr>
      <w:r w:rsidRPr="00B740F1">
        <w:rPr>
          <w:b/>
          <w:bCs/>
        </w:rPr>
        <w:t>DVD :</w:t>
      </w:r>
      <w:r>
        <w:t xml:space="preserve"> </w:t>
      </w:r>
      <w:r w:rsidR="00FF5E38">
        <w:t>Les DVD ont connu plusieurs années de forte baisse des prêts</w:t>
      </w:r>
      <w:r w:rsidR="00C57711">
        <w:t xml:space="preserve">. </w:t>
      </w:r>
      <w:r w:rsidR="00FF5E38">
        <w:t>La cause de cette baisse n’était pas établie : arrêt du vidéobus ? inadaptation du fonds de la BDLA aux attentes du réseau ? ou causes plus profondes liées à la mort programmée du support DVD ?</w:t>
      </w:r>
      <w:r w:rsidR="00C57711">
        <w:br/>
        <w:t xml:space="preserve">Mais depuis 2 ans, cette tendance s’est un peu inversée et le DVD diminue moins vite que le livre. C’est rassurant – au moins à moyen terme – </w:t>
      </w:r>
      <w:r w:rsidR="005542C6">
        <w:t>quant</w:t>
      </w:r>
      <w:r w:rsidR="00C57711">
        <w:t xml:space="preserve"> à l’avenir de ce support. Contrairement à 2024 où c’est la fiction adultes qui avait bien rebondi, en 2025 c’est au tour de la fiction jeunesse de tirer le domaine vers le haut (+65%)</w:t>
      </w:r>
      <w:r w:rsidR="00C57711">
        <w:br/>
      </w:r>
      <w:r w:rsidR="00FF5E38">
        <w:t>Cela reste néanmoins un domaine moins emprunté que la moyenne (6</w:t>
      </w:r>
      <w:r w:rsidR="008304E5">
        <w:t>9</w:t>
      </w:r>
      <w:r w:rsidR="00FF5E38">
        <w:t>,</w:t>
      </w:r>
      <w:r w:rsidR="008304E5">
        <w:t>4</w:t>
      </w:r>
      <w:r w:rsidR="00FF5E38">
        <w:t>% contre 7</w:t>
      </w:r>
      <w:r w:rsidR="008304E5">
        <w:t>4</w:t>
      </w:r>
      <w:r w:rsidR="00FF5E38">
        <w:t>,</w:t>
      </w:r>
      <w:r w:rsidR="008304E5">
        <w:t>4</w:t>
      </w:r>
      <w:r w:rsidR="00FF5E38">
        <w:t>%) et qui est en phase de décroissance : le fonds à diminué de presque un quart en 4 ans.</w:t>
      </w:r>
      <w:r w:rsidR="00FF5E38">
        <w:br/>
        <w:t>L’âge réel (7,</w:t>
      </w:r>
      <w:r w:rsidR="008304E5">
        <w:t>6</w:t>
      </w:r>
      <w:r w:rsidR="00FF5E38">
        <w:t xml:space="preserve">) </w:t>
      </w:r>
      <w:r w:rsidR="008304E5">
        <w:t>est dans la moyenne BDLA. L’âge théorique est supérieur (10,2 contre 9) mais en ligne avec une petite réduction du fonds</w:t>
      </w:r>
      <w:r w:rsidR="00B740F1">
        <w:t>.</w:t>
      </w:r>
      <w:r w:rsidR="00B740F1">
        <w:br/>
      </w:r>
    </w:p>
    <w:sectPr w:rsidR="00CA5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5B81"/>
    <w:multiLevelType w:val="hybridMultilevel"/>
    <w:tmpl w:val="6B2AB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283754"/>
    <w:multiLevelType w:val="hybridMultilevel"/>
    <w:tmpl w:val="99BC3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B7C70"/>
    <w:multiLevelType w:val="hybridMultilevel"/>
    <w:tmpl w:val="55C00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443D4C"/>
    <w:multiLevelType w:val="hybridMultilevel"/>
    <w:tmpl w:val="74EE3C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7F232F"/>
    <w:multiLevelType w:val="hybridMultilevel"/>
    <w:tmpl w:val="D3446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F07A2B"/>
    <w:multiLevelType w:val="hybridMultilevel"/>
    <w:tmpl w:val="28F258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500391474">
    <w:abstractNumId w:val="3"/>
  </w:num>
  <w:num w:numId="2" w16cid:durableId="2025934094">
    <w:abstractNumId w:val="5"/>
  </w:num>
  <w:num w:numId="3" w16cid:durableId="848523198">
    <w:abstractNumId w:val="0"/>
  </w:num>
  <w:num w:numId="4" w16cid:durableId="2067949131">
    <w:abstractNumId w:val="1"/>
  </w:num>
  <w:num w:numId="5" w16cid:durableId="1082096293">
    <w:abstractNumId w:val="4"/>
  </w:num>
  <w:num w:numId="6" w16cid:durableId="155616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AA"/>
    <w:rsid w:val="00020584"/>
    <w:rsid w:val="000248D1"/>
    <w:rsid w:val="00047851"/>
    <w:rsid w:val="00061993"/>
    <w:rsid w:val="00062F27"/>
    <w:rsid w:val="0006480F"/>
    <w:rsid w:val="00066978"/>
    <w:rsid w:val="00070503"/>
    <w:rsid w:val="000A46D6"/>
    <w:rsid w:val="000A52DA"/>
    <w:rsid w:val="000C7AF7"/>
    <w:rsid w:val="000D3AA2"/>
    <w:rsid w:val="000D650E"/>
    <w:rsid w:val="000F3D6D"/>
    <w:rsid w:val="0014070D"/>
    <w:rsid w:val="001411D7"/>
    <w:rsid w:val="001818E5"/>
    <w:rsid w:val="0019145E"/>
    <w:rsid w:val="001B4AA0"/>
    <w:rsid w:val="001B547E"/>
    <w:rsid w:val="001C0E26"/>
    <w:rsid w:val="001C4730"/>
    <w:rsid w:val="001D0DEA"/>
    <w:rsid w:val="001F7DB0"/>
    <w:rsid w:val="002048E6"/>
    <w:rsid w:val="00217009"/>
    <w:rsid w:val="00226ED3"/>
    <w:rsid w:val="00244C3E"/>
    <w:rsid w:val="00254A36"/>
    <w:rsid w:val="0026155F"/>
    <w:rsid w:val="00275BC3"/>
    <w:rsid w:val="002809B3"/>
    <w:rsid w:val="00295DB6"/>
    <w:rsid w:val="0029630D"/>
    <w:rsid w:val="002A03A2"/>
    <w:rsid w:val="002B18E3"/>
    <w:rsid w:val="002B73C7"/>
    <w:rsid w:val="002D1754"/>
    <w:rsid w:val="002D1B64"/>
    <w:rsid w:val="002D1EA0"/>
    <w:rsid w:val="002D2D82"/>
    <w:rsid w:val="002D31E6"/>
    <w:rsid w:val="002D6DB6"/>
    <w:rsid w:val="002E2F39"/>
    <w:rsid w:val="002F2D08"/>
    <w:rsid w:val="002F43FF"/>
    <w:rsid w:val="00306076"/>
    <w:rsid w:val="00306BB8"/>
    <w:rsid w:val="00324E74"/>
    <w:rsid w:val="00326CE1"/>
    <w:rsid w:val="00332367"/>
    <w:rsid w:val="003478B6"/>
    <w:rsid w:val="00350662"/>
    <w:rsid w:val="003531F2"/>
    <w:rsid w:val="00357B8F"/>
    <w:rsid w:val="003629A9"/>
    <w:rsid w:val="00367FFA"/>
    <w:rsid w:val="003909E9"/>
    <w:rsid w:val="00390E66"/>
    <w:rsid w:val="003917C8"/>
    <w:rsid w:val="003974D7"/>
    <w:rsid w:val="00397501"/>
    <w:rsid w:val="003A2A01"/>
    <w:rsid w:val="003B467F"/>
    <w:rsid w:val="003D5DFF"/>
    <w:rsid w:val="003E0727"/>
    <w:rsid w:val="003E645D"/>
    <w:rsid w:val="003E71A7"/>
    <w:rsid w:val="003E7299"/>
    <w:rsid w:val="004056A6"/>
    <w:rsid w:val="00413509"/>
    <w:rsid w:val="004137C3"/>
    <w:rsid w:val="0042235B"/>
    <w:rsid w:val="00437BB2"/>
    <w:rsid w:val="00450688"/>
    <w:rsid w:val="0045291C"/>
    <w:rsid w:val="00484F7D"/>
    <w:rsid w:val="00487E3F"/>
    <w:rsid w:val="00490215"/>
    <w:rsid w:val="004A642B"/>
    <w:rsid w:val="004B1192"/>
    <w:rsid w:val="004C3807"/>
    <w:rsid w:val="004D50BF"/>
    <w:rsid w:val="004E2638"/>
    <w:rsid w:val="004F3BB1"/>
    <w:rsid w:val="005032C2"/>
    <w:rsid w:val="00506882"/>
    <w:rsid w:val="00512115"/>
    <w:rsid w:val="00526204"/>
    <w:rsid w:val="00530624"/>
    <w:rsid w:val="005404FC"/>
    <w:rsid w:val="005542C6"/>
    <w:rsid w:val="00560215"/>
    <w:rsid w:val="00562AD3"/>
    <w:rsid w:val="0056563A"/>
    <w:rsid w:val="00567165"/>
    <w:rsid w:val="00574D13"/>
    <w:rsid w:val="00575264"/>
    <w:rsid w:val="005759A3"/>
    <w:rsid w:val="00577D2C"/>
    <w:rsid w:val="0059609C"/>
    <w:rsid w:val="005A56AF"/>
    <w:rsid w:val="005B603C"/>
    <w:rsid w:val="005D1A3A"/>
    <w:rsid w:val="005D7A3F"/>
    <w:rsid w:val="005F2852"/>
    <w:rsid w:val="006445DC"/>
    <w:rsid w:val="006579CF"/>
    <w:rsid w:val="00666B22"/>
    <w:rsid w:val="006813C6"/>
    <w:rsid w:val="00684543"/>
    <w:rsid w:val="006949EA"/>
    <w:rsid w:val="006A00AB"/>
    <w:rsid w:val="006B4305"/>
    <w:rsid w:val="006F5540"/>
    <w:rsid w:val="006F6C8F"/>
    <w:rsid w:val="007009F5"/>
    <w:rsid w:val="007013C0"/>
    <w:rsid w:val="00703907"/>
    <w:rsid w:val="00705949"/>
    <w:rsid w:val="007160E0"/>
    <w:rsid w:val="00722150"/>
    <w:rsid w:val="00726F16"/>
    <w:rsid w:val="00735CA8"/>
    <w:rsid w:val="0074013F"/>
    <w:rsid w:val="00743EEA"/>
    <w:rsid w:val="0074420B"/>
    <w:rsid w:val="00747B45"/>
    <w:rsid w:val="007536FE"/>
    <w:rsid w:val="00784151"/>
    <w:rsid w:val="007C6C2D"/>
    <w:rsid w:val="007F02FD"/>
    <w:rsid w:val="007F072A"/>
    <w:rsid w:val="007F34D6"/>
    <w:rsid w:val="007F65AF"/>
    <w:rsid w:val="008022ED"/>
    <w:rsid w:val="00805A9C"/>
    <w:rsid w:val="0081653C"/>
    <w:rsid w:val="00822436"/>
    <w:rsid w:val="008304E5"/>
    <w:rsid w:val="008327C3"/>
    <w:rsid w:val="008349E7"/>
    <w:rsid w:val="00843E31"/>
    <w:rsid w:val="00861F51"/>
    <w:rsid w:val="00875DE9"/>
    <w:rsid w:val="00877C6D"/>
    <w:rsid w:val="00890C01"/>
    <w:rsid w:val="0089561D"/>
    <w:rsid w:val="008A2D7C"/>
    <w:rsid w:val="008A3F3B"/>
    <w:rsid w:val="008B02CA"/>
    <w:rsid w:val="008C4362"/>
    <w:rsid w:val="008D4B0E"/>
    <w:rsid w:val="008E37D6"/>
    <w:rsid w:val="008E6FD6"/>
    <w:rsid w:val="008F5BCB"/>
    <w:rsid w:val="008F6023"/>
    <w:rsid w:val="00903D6E"/>
    <w:rsid w:val="0091468B"/>
    <w:rsid w:val="009305D6"/>
    <w:rsid w:val="0093067A"/>
    <w:rsid w:val="0095722C"/>
    <w:rsid w:val="009644D6"/>
    <w:rsid w:val="00975C96"/>
    <w:rsid w:val="00980771"/>
    <w:rsid w:val="00987673"/>
    <w:rsid w:val="0099609C"/>
    <w:rsid w:val="009B018C"/>
    <w:rsid w:val="009C3AC0"/>
    <w:rsid w:val="009E4EE5"/>
    <w:rsid w:val="009F071E"/>
    <w:rsid w:val="009F2048"/>
    <w:rsid w:val="009F298A"/>
    <w:rsid w:val="009F3A03"/>
    <w:rsid w:val="009F4DC6"/>
    <w:rsid w:val="00A11A38"/>
    <w:rsid w:val="00A371E7"/>
    <w:rsid w:val="00A40075"/>
    <w:rsid w:val="00A455C1"/>
    <w:rsid w:val="00A540CC"/>
    <w:rsid w:val="00A55BBE"/>
    <w:rsid w:val="00A90482"/>
    <w:rsid w:val="00AB0A46"/>
    <w:rsid w:val="00AB2684"/>
    <w:rsid w:val="00AB5788"/>
    <w:rsid w:val="00AC4A21"/>
    <w:rsid w:val="00AD1882"/>
    <w:rsid w:val="00AE1518"/>
    <w:rsid w:val="00AE3110"/>
    <w:rsid w:val="00AE35A8"/>
    <w:rsid w:val="00AE45F3"/>
    <w:rsid w:val="00AF2449"/>
    <w:rsid w:val="00AF74B0"/>
    <w:rsid w:val="00B022EB"/>
    <w:rsid w:val="00B107B7"/>
    <w:rsid w:val="00B2678E"/>
    <w:rsid w:val="00B2744B"/>
    <w:rsid w:val="00B5030D"/>
    <w:rsid w:val="00B53640"/>
    <w:rsid w:val="00B56A86"/>
    <w:rsid w:val="00B67717"/>
    <w:rsid w:val="00B72593"/>
    <w:rsid w:val="00B73AA6"/>
    <w:rsid w:val="00B740F1"/>
    <w:rsid w:val="00B91C8E"/>
    <w:rsid w:val="00B928B5"/>
    <w:rsid w:val="00BA09E6"/>
    <w:rsid w:val="00BA3A7F"/>
    <w:rsid w:val="00BE0E79"/>
    <w:rsid w:val="00BE211A"/>
    <w:rsid w:val="00C21604"/>
    <w:rsid w:val="00C24F24"/>
    <w:rsid w:val="00C4384A"/>
    <w:rsid w:val="00C46BAD"/>
    <w:rsid w:val="00C47FA0"/>
    <w:rsid w:val="00C57711"/>
    <w:rsid w:val="00C72F7C"/>
    <w:rsid w:val="00C81D1C"/>
    <w:rsid w:val="00C91AA4"/>
    <w:rsid w:val="00CA58A6"/>
    <w:rsid w:val="00CD1093"/>
    <w:rsid w:val="00CD1EB5"/>
    <w:rsid w:val="00CD41B7"/>
    <w:rsid w:val="00CD60B9"/>
    <w:rsid w:val="00CE0025"/>
    <w:rsid w:val="00CE0D68"/>
    <w:rsid w:val="00CF144B"/>
    <w:rsid w:val="00D26C72"/>
    <w:rsid w:val="00D27329"/>
    <w:rsid w:val="00D30BC0"/>
    <w:rsid w:val="00D5466E"/>
    <w:rsid w:val="00D57E0A"/>
    <w:rsid w:val="00D8607C"/>
    <w:rsid w:val="00DA086C"/>
    <w:rsid w:val="00DB2220"/>
    <w:rsid w:val="00DC54F0"/>
    <w:rsid w:val="00DC71E5"/>
    <w:rsid w:val="00DD0060"/>
    <w:rsid w:val="00DE14BD"/>
    <w:rsid w:val="00DF660C"/>
    <w:rsid w:val="00E008D3"/>
    <w:rsid w:val="00E33413"/>
    <w:rsid w:val="00E35B60"/>
    <w:rsid w:val="00E406BD"/>
    <w:rsid w:val="00E52F99"/>
    <w:rsid w:val="00E62053"/>
    <w:rsid w:val="00E70A77"/>
    <w:rsid w:val="00E77A25"/>
    <w:rsid w:val="00E900E7"/>
    <w:rsid w:val="00E969AA"/>
    <w:rsid w:val="00E96F4D"/>
    <w:rsid w:val="00EA705B"/>
    <w:rsid w:val="00EB2A38"/>
    <w:rsid w:val="00EC4DEE"/>
    <w:rsid w:val="00ED3D3C"/>
    <w:rsid w:val="00EE21F0"/>
    <w:rsid w:val="00F04498"/>
    <w:rsid w:val="00F24C4D"/>
    <w:rsid w:val="00F43DD0"/>
    <w:rsid w:val="00F710E9"/>
    <w:rsid w:val="00F74314"/>
    <w:rsid w:val="00F8616E"/>
    <w:rsid w:val="00F91A0C"/>
    <w:rsid w:val="00F96A0E"/>
    <w:rsid w:val="00F96E1E"/>
    <w:rsid w:val="00FB3325"/>
    <w:rsid w:val="00FB5635"/>
    <w:rsid w:val="00FD23CE"/>
    <w:rsid w:val="00FD6E33"/>
    <w:rsid w:val="00FE0C4B"/>
    <w:rsid w:val="00FF5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9665"/>
  <w15:chartTrackingRefBased/>
  <w15:docId w15:val="{CC2317F7-5A07-4A79-9993-3915E97C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g44.fr\Donnees\Vol2\Doc\Dg_C\Dc\BDLA\Commun\6-Organisation%20et%20fonctionnement%20des%20services\61-Collection\Politique%20documentaire\STATS\2025\Data\pr&#233;paration%20synth&#232;se%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g44.fr\Donnees\Vol2\Doc\Dg_C\Dc\BDLA\Commun\6-Organisation%20et%20fonctionnement%20des%20services\61-Collection\Politique%20documentaire\STATS\2025\Data\pr&#233;paration%20synth&#232;se%20202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âge des collections 2020 - 2026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0"/>
          <c:order val="0"/>
          <c:tx>
            <c:strRef>
              <c:f>'prospective âge des collections'!$G$1</c:f>
              <c:strCache>
                <c:ptCount val="1"/>
                <c:pt idx="0">
                  <c:v>âge réel</c:v>
                </c:pt>
              </c:strCache>
            </c:strRef>
          </c:tx>
          <c:spPr>
            <a:ln w="28575" cap="rnd">
              <a:solidFill>
                <a:schemeClr val="accent1"/>
              </a:solidFill>
              <a:round/>
            </a:ln>
            <a:effectLst/>
          </c:spPr>
          <c:marker>
            <c:symbol val="none"/>
          </c:marker>
          <c:cat>
            <c:numRef>
              <c:f>'prospective âge des collections'!$A$2:$A$7</c:f>
              <c:numCache>
                <c:formatCode>General</c:formatCode>
                <c:ptCount val="6"/>
                <c:pt idx="0">
                  <c:v>2020</c:v>
                </c:pt>
                <c:pt idx="1">
                  <c:v>2021</c:v>
                </c:pt>
                <c:pt idx="2">
                  <c:v>2022</c:v>
                </c:pt>
                <c:pt idx="3">
                  <c:v>2023</c:v>
                </c:pt>
                <c:pt idx="4">
                  <c:v>2024</c:v>
                </c:pt>
                <c:pt idx="5">
                  <c:v>2025</c:v>
                </c:pt>
              </c:numCache>
            </c:numRef>
          </c:cat>
          <c:val>
            <c:numRef>
              <c:f>'prospective âge des collections'!$G$2:$G$7</c:f>
              <c:numCache>
                <c:formatCode>General</c:formatCode>
                <c:ptCount val="6"/>
                <c:pt idx="0">
                  <c:v>7.5</c:v>
                </c:pt>
                <c:pt idx="1">
                  <c:v>7.3</c:v>
                </c:pt>
                <c:pt idx="2">
                  <c:v>7.4</c:v>
                </c:pt>
                <c:pt idx="3">
                  <c:v>7.4</c:v>
                </c:pt>
                <c:pt idx="4">
                  <c:v>7.5</c:v>
                </c:pt>
                <c:pt idx="5">
                  <c:v>7.6</c:v>
                </c:pt>
              </c:numCache>
            </c:numRef>
          </c:val>
          <c:smooth val="0"/>
          <c:extLst>
            <c:ext xmlns:c16="http://schemas.microsoft.com/office/drawing/2014/chart" uri="{C3380CC4-5D6E-409C-BE32-E72D297353CC}">
              <c16:uniqueId val="{00000000-AE23-4086-95B8-98A8BD439148}"/>
            </c:ext>
          </c:extLst>
        </c:ser>
        <c:ser>
          <c:idx val="1"/>
          <c:order val="1"/>
          <c:tx>
            <c:strRef>
              <c:f>'prospective âge des collections'!$H$1</c:f>
              <c:strCache>
                <c:ptCount val="1"/>
                <c:pt idx="0">
                  <c:v>âgé théorique</c:v>
                </c:pt>
              </c:strCache>
            </c:strRef>
          </c:tx>
          <c:spPr>
            <a:ln w="28575" cap="rnd">
              <a:solidFill>
                <a:schemeClr val="accent2"/>
              </a:solidFill>
              <a:round/>
            </a:ln>
            <a:effectLst/>
          </c:spPr>
          <c:marker>
            <c:symbol val="none"/>
          </c:marker>
          <c:cat>
            <c:numRef>
              <c:f>'prospective âge des collections'!$A$2:$A$7</c:f>
              <c:numCache>
                <c:formatCode>General</c:formatCode>
                <c:ptCount val="6"/>
                <c:pt idx="0">
                  <c:v>2020</c:v>
                </c:pt>
                <c:pt idx="1">
                  <c:v>2021</c:v>
                </c:pt>
                <c:pt idx="2">
                  <c:v>2022</c:v>
                </c:pt>
                <c:pt idx="3">
                  <c:v>2023</c:v>
                </c:pt>
                <c:pt idx="4">
                  <c:v>2024</c:v>
                </c:pt>
                <c:pt idx="5">
                  <c:v>2025</c:v>
                </c:pt>
              </c:numCache>
            </c:numRef>
          </c:cat>
          <c:val>
            <c:numRef>
              <c:f>'prospective âge des collections'!$H$2:$H$7</c:f>
              <c:numCache>
                <c:formatCode>0.0</c:formatCode>
                <c:ptCount val="6"/>
                <c:pt idx="0">
                  <c:v>7.951214057507987</c:v>
                </c:pt>
                <c:pt idx="1">
                  <c:v>8.2996208310763748</c:v>
                </c:pt>
                <c:pt idx="2">
                  <c:v>7.5235910404624278</c:v>
                </c:pt>
                <c:pt idx="3">
                  <c:v>7.8686538614808317</c:v>
                </c:pt>
                <c:pt idx="4">
                  <c:v>7.5492381716118686</c:v>
                </c:pt>
                <c:pt idx="5">
                  <c:v>8.9576016056196686</c:v>
                </c:pt>
              </c:numCache>
            </c:numRef>
          </c:val>
          <c:smooth val="0"/>
          <c:extLst>
            <c:ext xmlns:c16="http://schemas.microsoft.com/office/drawing/2014/chart" uri="{C3380CC4-5D6E-409C-BE32-E72D297353CC}">
              <c16:uniqueId val="{00000001-AE23-4086-95B8-98A8BD439148}"/>
            </c:ext>
          </c:extLst>
        </c:ser>
        <c:dLbls>
          <c:showLegendKey val="0"/>
          <c:showVal val="0"/>
          <c:showCatName val="0"/>
          <c:showSerName val="0"/>
          <c:showPercent val="0"/>
          <c:showBubbleSize val="0"/>
        </c:dLbls>
        <c:smooth val="0"/>
        <c:axId val="467737224"/>
        <c:axId val="467731464"/>
      </c:lineChart>
      <c:catAx>
        <c:axId val="46773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7731464"/>
        <c:crosses val="autoZero"/>
        <c:auto val="1"/>
        <c:lblAlgn val="ctr"/>
        <c:lblOffset val="100"/>
        <c:noMultiLvlLbl val="0"/>
      </c:catAx>
      <c:valAx>
        <c:axId val="467731464"/>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7737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évolution collections de la BDLA 2020 - 2025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'prospective âge des collections'!$D$1</c:f>
              <c:strCache>
                <c:ptCount val="1"/>
                <c:pt idx="0">
                  <c:v>nb prêts</c:v>
                </c:pt>
              </c:strCache>
            </c:strRef>
          </c:tx>
          <c:spPr>
            <a:solidFill>
              <a:schemeClr val="accent1"/>
            </a:solidFill>
            <a:ln>
              <a:noFill/>
            </a:ln>
            <a:effectLst/>
          </c:spPr>
          <c:invertIfNegative val="0"/>
          <c:cat>
            <c:numRef>
              <c:f>'prospective âge des collections'!$A$2:$A$7</c:f>
              <c:numCache>
                <c:formatCode>General</c:formatCode>
                <c:ptCount val="6"/>
                <c:pt idx="0">
                  <c:v>2020</c:v>
                </c:pt>
                <c:pt idx="1">
                  <c:v>2021</c:v>
                </c:pt>
                <c:pt idx="2">
                  <c:v>2022</c:v>
                </c:pt>
                <c:pt idx="3">
                  <c:v>2023</c:v>
                </c:pt>
                <c:pt idx="4">
                  <c:v>2024</c:v>
                </c:pt>
                <c:pt idx="5">
                  <c:v>2025</c:v>
                </c:pt>
              </c:numCache>
            </c:numRef>
          </c:cat>
          <c:val>
            <c:numRef>
              <c:f>'prospective âge des collections'!$D$2:$D$7</c:f>
              <c:numCache>
                <c:formatCode>General</c:formatCode>
                <c:ptCount val="6"/>
                <c:pt idx="0">
                  <c:v>180956</c:v>
                </c:pt>
                <c:pt idx="1">
                  <c:v>155587</c:v>
                </c:pt>
                <c:pt idx="2">
                  <c:v>153006</c:v>
                </c:pt>
                <c:pt idx="3">
                  <c:v>145017</c:v>
                </c:pt>
                <c:pt idx="4">
                  <c:v>139029</c:v>
                </c:pt>
                <c:pt idx="5">
                  <c:v>132841</c:v>
                </c:pt>
              </c:numCache>
            </c:numRef>
          </c:val>
          <c:extLst>
            <c:ext xmlns:c16="http://schemas.microsoft.com/office/drawing/2014/chart" uri="{C3380CC4-5D6E-409C-BE32-E72D297353CC}">
              <c16:uniqueId val="{00000000-5401-4C53-A27A-91F4E5C93A9B}"/>
            </c:ext>
          </c:extLst>
        </c:ser>
        <c:ser>
          <c:idx val="1"/>
          <c:order val="1"/>
          <c:tx>
            <c:strRef>
              <c:f>'prospective âge des collections'!$E$1</c:f>
              <c:strCache>
                <c:ptCount val="1"/>
                <c:pt idx="0">
                  <c:v>en rayon</c:v>
                </c:pt>
              </c:strCache>
            </c:strRef>
          </c:tx>
          <c:spPr>
            <a:solidFill>
              <a:schemeClr val="accent2"/>
            </a:solidFill>
            <a:ln>
              <a:noFill/>
            </a:ln>
            <a:effectLst/>
          </c:spPr>
          <c:invertIfNegative val="0"/>
          <c:cat>
            <c:numRef>
              <c:f>'prospective âge des collections'!$A$2:$A$7</c:f>
              <c:numCache>
                <c:formatCode>General</c:formatCode>
                <c:ptCount val="6"/>
                <c:pt idx="0">
                  <c:v>2020</c:v>
                </c:pt>
                <c:pt idx="1">
                  <c:v>2021</c:v>
                </c:pt>
                <c:pt idx="2">
                  <c:v>2022</c:v>
                </c:pt>
                <c:pt idx="3">
                  <c:v>2023</c:v>
                </c:pt>
                <c:pt idx="4">
                  <c:v>2024</c:v>
                </c:pt>
                <c:pt idx="5">
                  <c:v>2025</c:v>
                </c:pt>
              </c:numCache>
            </c:numRef>
          </c:cat>
          <c:val>
            <c:numRef>
              <c:f>'prospective âge des collections'!$E$2:$E$7</c:f>
              <c:numCache>
                <c:formatCode>General</c:formatCode>
                <c:ptCount val="6"/>
                <c:pt idx="0">
                  <c:v>67917</c:v>
                </c:pt>
                <c:pt idx="1">
                  <c:v>58925</c:v>
                </c:pt>
                <c:pt idx="2">
                  <c:v>55247</c:v>
                </c:pt>
                <c:pt idx="3">
                  <c:v>52439</c:v>
                </c:pt>
                <c:pt idx="4">
                  <c:v>49249</c:v>
                </c:pt>
                <c:pt idx="5">
                  <c:v>45684</c:v>
                </c:pt>
              </c:numCache>
            </c:numRef>
          </c:val>
          <c:extLst>
            <c:ext xmlns:c16="http://schemas.microsoft.com/office/drawing/2014/chart" uri="{C3380CC4-5D6E-409C-BE32-E72D297353CC}">
              <c16:uniqueId val="{00000001-5401-4C53-A27A-91F4E5C93A9B}"/>
            </c:ext>
          </c:extLst>
        </c:ser>
        <c:dLbls>
          <c:showLegendKey val="0"/>
          <c:showVal val="0"/>
          <c:showCatName val="0"/>
          <c:showSerName val="0"/>
          <c:showPercent val="0"/>
          <c:showBubbleSize val="0"/>
        </c:dLbls>
        <c:gapWidth val="150"/>
        <c:overlap val="100"/>
        <c:axId val="468376480"/>
        <c:axId val="468373600"/>
      </c:barChart>
      <c:catAx>
        <c:axId val="46837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8373600"/>
        <c:crosses val="autoZero"/>
        <c:auto val="1"/>
        <c:lblAlgn val="ctr"/>
        <c:lblOffset val="100"/>
        <c:noMultiLvlLbl val="0"/>
      </c:catAx>
      <c:valAx>
        <c:axId val="468373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68376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3358</TotalTime>
  <Pages>10</Pages>
  <Words>4764</Words>
  <Characters>26206</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CD44</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CHEVILLON Quentin</dc:creator>
  <cp:keywords/>
  <dc:description/>
  <cp:lastModifiedBy>CHEVILLON Quentin</cp:lastModifiedBy>
  <cp:revision>153</cp:revision>
  <cp:lastPrinted>2026-01-21T09:41:00Z</cp:lastPrinted>
  <dcterms:created xsi:type="dcterms:W3CDTF">2022-12-29T14:45:00Z</dcterms:created>
  <dcterms:modified xsi:type="dcterms:W3CDTF">2026-03-13T16:17:00Z</dcterms:modified>
</cp:coreProperties>
</file>