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004A9CFE" w:rsidR="00542EB2" w:rsidRPr="00542EB2" w:rsidRDefault="002B3DF5" w:rsidP="00542EB2">
      <w:pPr>
        <w:jc w:val="center"/>
        <w:rPr>
          <w:color w:val="156082" w:themeColor="accent1"/>
          <w:sz w:val="56"/>
          <w:szCs w:val="56"/>
        </w:rPr>
      </w:pPr>
      <w:r>
        <w:rPr>
          <w:color w:val="156082" w:themeColor="accent1"/>
          <w:sz w:val="56"/>
          <w:szCs w:val="56"/>
        </w:rPr>
        <w:t>Science-Fiction adulte</w:t>
      </w:r>
      <w:r w:rsidR="00E04887">
        <w:rPr>
          <w:color w:val="156082" w:themeColor="accent1"/>
          <w:sz w:val="56"/>
          <w:szCs w:val="56"/>
        </w:rPr>
        <w:t>s</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5D847183" w:rsidR="00542EB2" w:rsidRDefault="00542EB2" w:rsidP="00D8301B">
            <w:pPr>
              <w:jc w:val="center"/>
            </w:pPr>
            <w:r>
              <w:t>01/</w:t>
            </w:r>
            <w:r w:rsidR="00E63E85">
              <w:t>10</w:t>
            </w:r>
            <w:r>
              <w:t>/2024</w:t>
            </w:r>
          </w:p>
        </w:tc>
        <w:tc>
          <w:tcPr>
            <w:tcW w:w="1985" w:type="dxa"/>
          </w:tcPr>
          <w:p w14:paraId="4CC890A4" w14:textId="29F89CDB" w:rsidR="00542EB2" w:rsidRDefault="00E63E85" w:rsidP="00D8301B">
            <w:pPr>
              <w:jc w:val="center"/>
            </w:pPr>
            <w:r>
              <w:t>SM</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1AD33883" w:rsidR="00542EB2" w:rsidRDefault="00E04887" w:rsidP="00D8301B">
            <w:pPr>
              <w:jc w:val="center"/>
            </w:pPr>
            <w:r>
              <w:t>2</w:t>
            </w:r>
          </w:p>
        </w:tc>
        <w:tc>
          <w:tcPr>
            <w:tcW w:w="2126" w:type="dxa"/>
          </w:tcPr>
          <w:p w14:paraId="75851AF2" w14:textId="2B8D8405" w:rsidR="00542EB2" w:rsidRDefault="00E04887" w:rsidP="00D8301B">
            <w:pPr>
              <w:jc w:val="center"/>
            </w:pPr>
            <w:r>
              <w:t>31/12/2024</w:t>
            </w:r>
          </w:p>
        </w:tc>
        <w:tc>
          <w:tcPr>
            <w:tcW w:w="1985" w:type="dxa"/>
          </w:tcPr>
          <w:p w14:paraId="0E67AAE1" w14:textId="1B7D01CB" w:rsidR="00542EB2" w:rsidRDefault="00E04887" w:rsidP="00D8301B">
            <w:pPr>
              <w:jc w:val="center"/>
            </w:pPr>
            <w:r>
              <w:t>QC</w:t>
            </w:r>
          </w:p>
        </w:tc>
        <w:tc>
          <w:tcPr>
            <w:tcW w:w="4819" w:type="dxa"/>
          </w:tcPr>
          <w:p w14:paraId="3A13420B" w14:textId="3935F80D" w:rsidR="00542EB2" w:rsidRDefault="00E04887" w:rsidP="00D8301B">
            <w:pPr>
              <w:jc w:val="center"/>
            </w:pPr>
            <w:r>
              <w:t>Relecture, ajouts + stats et analyse</w:t>
            </w:r>
          </w:p>
        </w:tc>
      </w:tr>
      <w:tr w:rsidR="00542EB2" w14:paraId="668ACD8E" w14:textId="77777777" w:rsidTr="00D8301B">
        <w:trPr>
          <w:trHeight w:val="567"/>
        </w:trPr>
        <w:tc>
          <w:tcPr>
            <w:tcW w:w="1276" w:type="dxa"/>
          </w:tcPr>
          <w:p w14:paraId="26C4A5AA" w14:textId="260D74B8" w:rsidR="00542EB2" w:rsidRDefault="00804BE7" w:rsidP="00D8301B">
            <w:pPr>
              <w:jc w:val="center"/>
            </w:pPr>
            <w:r>
              <w:t>3</w:t>
            </w:r>
          </w:p>
        </w:tc>
        <w:tc>
          <w:tcPr>
            <w:tcW w:w="2126" w:type="dxa"/>
          </w:tcPr>
          <w:p w14:paraId="61142E0B" w14:textId="7EF4D147" w:rsidR="00542EB2" w:rsidRDefault="00804BE7" w:rsidP="00D8301B">
            <w:pPr>
              <w:jc w:val="center"/>
            </w:pPr>
            <w:r>
              <w:t>20/01/2025</w:t>
            </w:r>
          </w:p>
        </w:tc>
        <w:tc>
          <w:tcPr>
            <w:tcW w:w="1985" w:type="dxa"/>
          </w:tcPr>
          <w:p w14:paraId="5E373A2E" w14:textId="523544BA" w:rsidR="00542EB2" w:rsidRDefault="00804BE7" w:rsidP="00D8301B">
            <w:pPr>
              <w:jc w:val="center"/>
            </w:pPr>
            <w:r>
              <w:t>QC</w:t>
            </w:r>
          </w:p>
        </w:tc>
        <w:tc>
          <w:tcPr>
            <w:tcW w:w="4819" w:type="dxa"/>
          </w:tcPr>
          <w:p w14:paraId="07BFDCEB" w14:textId="3F2DA5D0" w:rsidR="00542EB2" w:rsidRDefault="00804BE7" w:rsidP="00D8301B">
            <w:pPr>
              <w:jc w:val="center"/>
            </w:pPr>
            <w:r>
              <w:t>Maj stats 2025</w:t>
            </w:r>
          </w:p>
        </w:tc>
      </w:tr>
      <w:tr w:rsidR="00542EB2" w14:paraId="3EEB1956" w14:textId="77777777" w:rsidTr="00D8301B">
        <w:trPr>
          <w:trHeight w:val="567"/>
        </w:trPr>
        <w:tc>
          <w:tcPr>
            <w:tcW w:w="1276" w:type="dxa"/>
          </w:tcPr>
          <w:p w14:paraId="75FCA48A" w14:textId="34E35106" w:rsidR="00542EB2" w:rsidRDefault="00175309" w:rsidP="00D8301B">
            <w:pPr>
              <w:jc w:val="center"/>
            </w:pPr>
            <w:r>
              <w:t>4</w:t>
            </w:r>
          </w:p>
        </w:tc>
        <w:tc>
          <w:tcPr>
            <w:tcW w:w="2126" w:type="dxa"/>
          </w:tcPr>
          <w:p w14:paraId="784127CF" w14:textId="65C0F8B9" w:rsidR="00542EB2" w:rsidRDefault="00175309" w:rsidP="00D8301B">
            <w:pPr>
              <w:jc w:val="center"/>
            </w:pPr>
            <w:r>
              <w:t>14/02/2025</w:t>
            </w:r>
          </w:p>
        </w:tc>
        <w:tc>
          <w:tcPr>
            <w:tcW w:w="1985" w:type="dxa"/>
          </w:tcPr>
          <w:p w14:paraId="76A11CC4" w14:textId="6449A53C" w:rsidR="00542EB2" w:rsidRDefault="00175309" w:rsidP="00D8301B">
            <w:pPr>
              <w:jc w:val="center"/>
            </w:pPr>
            <w:r>
              <w:t>QC</w:t>
            </w:r>
          </w:p>
        </w:tc>
        <w:tc>
          <w:tcPr>
            <w:tcW w:w="4819" w:type="dxa"/>
          </w:tcPr>
          <w:p w14:paraId="1DD9930D" w14:textId="6CA15A31" w:rsidR="00542EB2" w:rsidRDefault="00175309" w:rsidP="00D8301B">
            <w:pPr>
              <w:jc w:val="center"/>
            </w:pPr>
            <w:r>
              <w:t>Maj suite réunion</w:t>
            </w:r>
          </w:p>
        </w:tc>
      </w:tr>
      <w:tr w:rsidR="00542EB2" w14:paraId="7708F80F" w14:textId="77777777" w:rsidTr="00D8301B">
        <w:trPr>
          <w:trHeight w:val="567"/>
        </w:trPr>
        <w:tc>
          <w:tcPr>
            <w:tcW w:w="1276" w:type="dxa"/>
          </w:tcPr>
          <w:p w14:paraId="5C37DA3F" w14:textId="3BB85D79" w:rsidR="00542EB2" w:rsidRDefault="00671EC5" w:rsidP="00D8301B">
            <w:pPr>
              <w:jc w:val="center"/>
            </w:pPr>
            <w:r>
              <w:t>5</w:t>
            </w:r>
          </w:p>
        </w:tc>
        <w:tc>
          <w:tcPr>
            <w:tcW w:w="2126" w:type="dxa"/>
          </w:tcPr>
          <w:p w14:paraId="65BC9334" w14:textId="26389F22" w:rsidR="00542EB2" w:rsidRDefault="00671EC5" w:rsidP="00D8301B">
            <w:pPr>
              <w:jc w:val="center"/>
            </w:pPr>
            <w:r>
              <w:t>19/12/2025</w:t>
            </w:r>
          </w:p>
        </w:tc>
        <w:tc>
          <w:tcPr>
            <w:tcW w:w="1985" w:type="dxa"/>
          </w:tcPr>
          <w:p w14:paraId="0E681673" w14:textId="07019CA8" w:rsidR="00542EB2" w:rsidRDefault="00671EC5" w:rsidP="00D8301B">
            <w:pPr>
              <w:jc w:val="center"/>
            </w:pPr>
            <w:r>
              <w:t>QC</w:t>
            </w:r>
          </w:p>
        </w:tc>
        <w:tc>
          <w:tcPr>
            <w:tcW w:w="4819" w:type="dxa"/>
          </w:tcPr>
          <w:p w14:paraId="4A31E41D" w14:textId="55315F09" w:rsidR="00542EB2" w:rsidRDefault="00671EC5" w:rsidP="00D8301B">
            <w:pPr>
              <w:jc w:val="center"/>
            </w:pPr>
            <w:r>
              <w:t>Maj dark romance</w:t>
            </w: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51B87D37" w14:textId="525C2AA9" w:rsidR="00175309"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0443693" w:history="1">
            <w:r w:rsidR="00175309" w:rsidRPr="00E36D65">
              <w:rPr>
                <w:rStyle w:val="Lienhypertexte"/>
                <w:noProof/>
              </w:rPr>
              <w:t>Définition du domaine</w:t>
            </w:r>
            <w:r w:rsidR="00175309">
              <w:rPr>
                <w:noProof/>
                <w:webHidden/>
              </w:rPr>
              <w:tab/>
            </w:r>
            <w:r w:rsidR="00175309">
              <w:rPr>
                <w:noProof/>
                <w:webHidden/>
              </w:rPr>
              <w:fldChar w:fldCharType="begin"/>
            </w:r>
            <w:r w:rsidR="00175309">
              <w:rPr>
                <w:noProof/>
                <w:webHidden/>
              </w:rPr>
              <w:instrText xml:space="preserve"> PAGEREF _Toc190443693 \h </w:instrText>
            </w:r>
            <w:r w:rsidR="00175309">
              <w:rPr>
                <w:noProof/>
                <w:webHidden/>
              </w:rPr>
            </w:r>
            <w:r w:rsidR="00175309">
              <w:rPr>
                <w:noProof/>
                <w:webHidden/>
              </w:rPr>
              <w:fldChar w:fldCharType="separate"/>
            </w:r>
            <w:r w:rsidR="00175309">
              <w:rPr>
                <w:noProof/>
                <w:webHidden/>
              </w:rPr>
              <w:t>3</w:t>
            </w:r>
            <w:r w:rsidR="00175309">
              <w:rPr>
                <w:noProof/>
                <w:webHidden/>
              </w:rPr>
              <w:fldChar w:fldCharType="end"/>
            </w:r>
          </w:hyperlink>
        </w:p>
        <w:p w14:paraId="2DA875F5" w14:textId="48F0F966" w:rsidR="00175309" w:rsidRDefault="00175309">
          <w:pPr>
            <w:pStyle w:val="TM1"/>
            <w:tabs>
              <w:tab w:val="right" w:leader="dot" w:pos="9062"/>
            </w:tabs>
            <w:rPr>
              <w:rFonts w:eastAsiaTheme="minorEastAsia"/>
              <w:noProof/>
              <w:kern w:val="2"/>
              <w:sz w:val="24"/>
              <w:szCs w:val="24"/>
              <w:lang w:eastAsia="fr-FR"/>
              <w14:ligatures w14:val="standardContextual"/>
            </w:rPr>
          </w:pPr>
          <w:hyperlink w:anchor="_Toc190443694" w:history="1">
            <w:r w:rsidRPr="00E36D65">
              <w:rPr>
                <w:rStyle w:val="Lienhypertexte"/>
                <w:noProof/>
              </w:rPr>
              <w:t>Pratiques des acquéreuses</w:t>
            </w:r>
            <w:r>
              <w:rPr>
                <w:noProof/>
                <w:webHidden/>
              </w:rPr>
              <w:tab/>
            </w:r>
            <w:r>
              <w:rPr>
                <w:noProof/>
                <w:webHidden/>
              </w:rPr>
              <w:fldChar w:fldCharType="begin"/>
            </w:r>
            <w:r>
              <w:rPr>
                <w:noProof/>
                <w:webHidden/>
              </w:rPr>
              <w:instrText xml:space="preserve"> PAGEREF _Toc190443694 \h </w:instrText>
            </w:r>
            <w:r>
              <w:rPr>
                <w:noProof/>
                <w:webHidden/>
              </w:rPr>
            </w:r>
            <w:r>
              <w:rPr>
                <w:noProof/>
                <w:webHidden/>
              </w:rPr>
              <w:fldChar w:fldCharType="separate"/>
            </w:r>
            <w:r>
              <w:rPr>
                <w:noProof/>
                <w:webHidden/>
              </w:rPr>
              <w:t>4</w:t>
            </w:r>
            <w:r>
              <w:rPr>
                <w:noProof/>
                <w:webHidden/>
              </w:rPr>
              <w:fldChar w:fldCharType="end"/>
            </w:r>
          </w:hyperlink>
        </w:p>
        <w:p w14:paraId="32C1FCB7" w14:textId="704D27A8"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695" w:history="1">
            <w:r w:rsidRPr="00E36D65">
              <w:rPr>
                <w:rStyle w:val="Lienhypertexte"/>
                <w:noProof/>
              </w:rPr>
              <w:t>Veille</w:t>
            </w:r>
            <w:r>
              <w:rPr>
                <w:noProof/>
                <w:webHidden/>
              </w:rPr>
              <w:tab/>
            </w:r>
            <w:r>
              <w:rPr>
                <w:noProof/>
                <w:webHidden/>
              </w:rPr>
              <w:fldChar w:fldCharType="begin"/>
            </w:r>
            <w:r>
              <w:rPr>
                <w:noProof/>
                <w:webHidden/>
              </w:rPr>
              <w:instrText xml:space="preserve"> PAGEREF _Toc190443695 \h </w:instrText>
            </w:r>
            <w:r>
              <w:rPr>
                <w:noProof/>
                <w:webHidden/>
              </w:rPr>
            </w:r>
            <w:r>
              <w:rPr>
                <w:noProof/>
                <w:webHidden/>
              </w:rPr>
              <w:fldChar w:fldCharType="separate"/>
            </w:r>
            <w:r>
              <w:rPr>
                <w:noProof/>
                <w:webHidden/>
              </w:rPr>
              <w:t>5</w:t>
            </w:r>
            <w:r>
              <w:rPr>
                <w:noProof/>
                <w:webHidden/>
              </w:rPr>
              <w:fldChar w:fldCharType="end"/>
            </w:r>
          </w:hyperlink>
        </w:p>
        <w:p w14:paraId="5708C19C" w14:textId="37F145B9"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696" w:history="1">
            <w:r w:rsidRPr="00E36D65">
              <w:rPr>
                <w:rStyle w:val="Lienhypertexte"/>
                <w:noProof/>
              </w:rPr>
              <w:t>Critères de sélection et de non-sélection</w:t>
            </w:r>
            <w:r>
              <w:rPr>
                <w:noProof/>
                <w:webHidden/>
              </w:rPr>
              <w:tab/>
            </w:r>
            <w:r>
              <w:rPr>
                <w:noProof/>
                <w:webHidden/>
              </w:rPr>
              <w:fldChar w:fldCharType="begin"/>
            </w:r>
            <w:r>
              <w:rPr>
                <w:noProof/>
                <w:webHidden/>
              </w:rPr>
              <w:instrText xml:space="preserve"> PAGEREF _Toc190443696 \h </w:instrText>
            </w:r>
            <w:r>
              <w:rPr>
                <w:noProof/>
                <w:webHidden/>
              </w:rPr>
            </w:r>
            <w:r>
              <w:rPr>
                <w:noProof/>
                <w:webHidden/>
              </w:rPr>
              <w:fldChar w:fldCharType="separate"/>
            </w:r>
            <w:r>
              <w:rPr>
                <w:noProof/>
                <w:webHidden/>
              </w:rPr>
              <w:t>5</w:t>
            </w:r>
            <w:r>
              <w:rPr>
                <w:noProof/>
                <w:webHidden/>
              </w:rPr>
              <w:fldChar w:fldCharType="end"/>
            </w:r>
          </w:hyperlink>
        </w:p>
        <w:p w14:paraId="05F8624E" w14:textId="64A946A1"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697" w:history="1">
            <w:r w:rsidRPr="00E36D65">
              <w:rPr>
                <w:rStyle w:val="Lienhypertexte"/>
                <w:noProof/>
              </w:rPr>
              <w:t>Nombre d’exemplaires</w:t>
            </w:r>
            <w:r>
              <w:rPr>
                <w:noProof/>
                <w:webHidden/>
              </w:rPr>
              <w:tab/>
            </w:r>
            <w:r>
              <w:rPr>
                <w:noProof/>
                <w:webHidden/>
              </w:rPr>
              <w:fldChar w:fldCharType="begin"/>
            </w:r>
            <w:r>
              <w:rPr>
                <w:noProof/>
                <w:webHidden/>
              </w:rPr>
              <w:instrText xml:space="preserve"> PAGEREF _Toc190443697 \h </w:instrText>
            </w:r>
            <w:r>
              <w:rPr>
                <w:noProof/>
                <w:webHidden/>
              </w:rPr>
            </w:r>
            <w:r>
              <w:rPr>
                <w:noProof/>
                <w:webHidden/>
              </w:rPr>
              <w:fldChar w:fldCharType="separate"/>
            </w:r>
            <w:r>
              <w:rPr>
                <w:noProof/>
                <w:webHidden/>
              </w:rPr>
              <w:t>6</w:t>
            </w:r>
            <w:r>
              <w:rPr>
                <w:noProof/>
                <w:webHidden/>
              </w:rPr>
              <w:fldChar w:fldCharType="end"/>
            </w:r>
          </w:hyperlink>
        </w:p>
        <w:p w14:paraId="24DFFBA4" w14:textId="09640785"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698" w:history="1">
            <w:r w:rsidRPr="00E36D65">
              <w:rPr>
                <w:rStyle w:val="Lienhypertexte"/>
                <w:noProof/>
              </w:rPr>
              <w:t>Commandes</w:t>
            </w:r>
            <w:r>
              <w:rPr>
                <w:noProof/>
                <w:webHidden/>
              </w:rPr>
              <w:tab/>
            </w:r>
            <w:r>
              <w:rPr>
                <w:noProof/>
                <w:webHidden/>
              </w:rPr>
              <w:fldChar w:fldCharType="begin"/>
            </w:r>
            <w:r>
              <w:rPr>
                <w:noProof/>
                <w:webHidden/>
              </w:rPr>
              <w:instrText xml:space="preserve"> PAGEREF _Toc190443698 \h </w:instrText>
            </w:r>
            <w:r>
              <w:rPr>
                <w:noProof/>
                <w:webHidden/>
              </w:rPr>
            </w:r>
            <w:r>
              <w:rPr>
                <w:noProof/>
                <w:webHidden/>
              </w:rPr>
              <w:fldChar w:fldCharType="separate"/>
            </w:r>
            <w:r>
              <w:rPr>
                <w:noProof/>
                <w:webHidden/>
              </w:rPr>
              <w:t>6</w:t>
            </w:r>
            <w:r>
              <w:rPr>
                <w:noProof/>
                <w:webHidden/>
              </w:rPr>
              <w:fldChar w:fldCharType="end"/>
            </w:r>
          </w:hyperlink>
        </w:p>
        <w:p w14:paraId="3FC589FC" w14:textId="67151993"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699" w:history="1">
            <w:r w:rsidRPr="00E36D65">
              <w:rPr>
                <w:rStyle w:val="Lienhypertexte"/>
                <w:noProof/>
              </w:rPr>
              <w:t>Rachats ouvrages de fonds</w:t>
            </w:r>
            <w:r>
              <w:rPr>
                <w:noProof/>
                <w:webHidden/>
              </w:rPr>
              <w:tab/>
            </w:r>
            <w:r>
              <w:rPr>
                <w:noProof/>
                <w:webHidden/>
              </w:rPr>
              <w:fldChar w:fldCharType="begin"/>
            </w:r>
            <w:r>
              <w:rPr>
                <w:noProof/>
                <w:webHidden/>
              </w:rPr>
              <w:instrText xml:space="preserve"> PAGEREF _Toc190443699 \h </w:instrText>
            </w:r>
            <w:r>
              <w:rPr>
                <w:noProof/>
                <w:webHidden/>
              </w:rPr>
            </w:r>
            <w:r>
              <w:rPr>
                <w:noProof/>
                <w:webHidden/>
              </w:rPr>
              <w:fldChar w:fldCharType="separate"/>
            </w:r>
            <w:r>
              <w:rPr>
                <w:noProof/>
                <w:webHidden/>
              </w:rPr>
              <w:t>6</w:t>
            </w:r>
            <w:r>
              <w:rPr>
                <w:noProof/>
                <w:webHidden/>
              </w:rPr>
              <w:fldChar w:fldCharType="end"/>
            </w:r>
          </w:hyperlink>
        </w:p>
        <w:p w14:paraId="184B665C" w14:textId="7C971812"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0" w:history="1">
            <w:r w:rsidRPr="00E36D65">
              <w:rPr>
                <w:rStyle w:val="Lienhypertexte"/>
                <w:noProof/>
              </w:rPr>
              <w:t>Catalogage</w:t>
            </w:r>
            <w:r>
              <w:rPr>
                <w:noProof/>
                <w:webHidden/>
              </w:rPr>
              <w:tab/>
            </w:r>
            <w:r>
              <w:rPr>
                <w:noProof/>
                <w:webHidden/>
              </w:rPr>
              <w:fldChar w:fldCharType="begin"/>
            </w:r>
            <w:r>
              <w:rPr>
                <w:noProof/>
                <w:webHidden/>
              </w:rPr>
              <w:instrText xml:space="preserve"> PAGEREF _Toc190443700 \h </w:instrText>
            </w:r>
            <w:r>
              <w:rPr>
                <w:noProof/>
                <w:webHidden/>
              </w:rPr>
            </w:r>
            <w:r>
              <w:rPr>
                <w:noProof/>
                <w:webHidden/>
              </w:rPr>
              <w:fldChar w:fldCharType="separate"/>
            </w:r>
            <w:r>
              <w:rPr>
                <w:noProof/>
                <w:webHidden/>
              </w:rPr>
              <w:t>7</w:t>
            </w:r>
            <w:r>
              <w:rPr>
                <w:noProof/>
                <w:webHidden/>
              </w:rPr>
              <w:fldChar w:fldCharType="end"/>
            </w:r>
          </w:hyperlink>
        </w:p>
        <w:p w14:paraId="1FA29AC9" w14:textId="5487C573"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1" w:history="1">
            <w:r w:rsidRPr="00E36D65">
              <w:rPr>
                <w:rStyle w:val="Lienhypertexte"/>
                <w:noProof/>
              </w:rPr>
              <w:t>Désherbage</w:t>
            </w:r>
            <w:r>
              <w:rPr>
                <w:noProof/>
                <w:webHidden/>
              </w:rPr>
              <w:tab/>
            </w:r>
            <w:r>
              <w:rPr>
                <w:noProof/>
                <w:webHidden/>
              </w:rPr>
              <w:fldChar w:fldCharType="begin"/>
            </w:r>
            <w:r>
              <w:rPr>
                <w:noProof/>
                <w:webHidden/>
              </w:rPr>
              <w:instrText xml:space="preserve"> PAGEREF _Toc190443701 \h </w:instrText>
            </w:r>
            <w:r>
              <w:rPr>
                <w:noProof/>
                <w:webHidden/>
              </w:rPr>
            </w:r>
            <w:r>
              <w:rPr>
                <w:noProof/>
                <w:webHidden/>
              </w:rPr>
              <w:fldChar w:fldCharType="separate"/>
            </w:r>
            <w:r>
              <w:rPr>
                <w:noProof/>
                <w:webHidden/>
              </w:rPr>
              <w:t>7</w:t>
            </w:r>
            <w:r>
              <w:rPr>
                <w:noProof/>
                <w:webHidden/>
              </w:rPr>
              <w:fldChar w:fldCharType="end"/>
            </w:r>
          </w:hyperlink>
        </w:p>
        <w:p w14:paraId="3C18CFCF" w14:textId="717509B4"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2" w:history="1">
            <w:r w:rsidRPr="00E36D65">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_Toc190443702 \h </w:instrText>
            </w:r>
            <w:r>
              <w:rPr>
                <w:noProof/>
                <w:webHidden/>
              </w:rPr>
            </w:r>
            <w:r>
              <w:rPr>
                <w:noProof/>
                <w:webHidden/>
              </w:rPr>
              <w:fldChar w:fldCharType="separate"/>
            </w:r>
            <w:r>
              <w:rPr>
                <w:noProof/>
                <w:webHidden/>
              </w:rPr>
              <w:t>7</w:t>
            </w:r>
            <w:r>
              <w:rPr>
                <w:noProof/>
                <w:webHidden/>
              </w:rPr>
              <w:fldChar w:fldCharType="end"/>
            </w:r>
          </w:hyperlink>
        </w:p>
        <w:p w14:paraId="1EE91A48" w14:textId="39F5CBB2" w:rsidR="00175309" w:rsidRDefault="00175309">
          <w:pPr>
            <w:pStyle w:val="TM1"/>
            <w:tabs>
              <w:tab w:val="right" w:leader="dot" w:pos="9062"/>
            </w:tabs>
            <w:rPr>
              <w:rFonts w:eastAsiaTheme="minorEastAsia"/>
              <w:noProof/>
              <w:kern w:val="2"/>
              <w:sz w:val="24"/>
              <w:szCs w:val="24"/>
              <w:lang w:eastAsia="fr-FR"/>
              <w14:ligatures w14:val="standardContextual"/>
            </w:rPr>
          </w:pPr>
          <w:hyperlink w:anchor="_Toc190443703" w:history="1">
            <w:r w:rsidRPr="00E36D65">
              <w:rPr>
                <w:rStyle w:val="Lienhypertexte"/>
                <w:noProof/>
              </w:rPr>
              <w:t>Données statistiques</w:t>
            </w:r>
            <w:r>
              <w:rPr>
                <w:noProof/>
                <w:webHidden/>
              </w:rPr>
              <w:tab/>
            </w:r>
            <w:r>
              <w:rPr>
                <w:noProof/>
                <w:webHidden/>
              </w:rPr>
              <w:fldChar w:fldCharType="begin"/>
            </w:r>
            <w:r>
              <w:rPr>
                <w:noProof/>
                <w:webHidden/>
              </w:rPr>
              <w:instrText xml:space="preserve"> PAGEREF _Toc190443703 \h </w:instrText>
            </w:r>
            <w:r>
              <w:rPr>
                <w:noProof/>
                <w:webHidden/>
              </w:rPr>
            </w:r>
            <w:r>
              <w:rPr>
                <w:noProof/>
                <w:webHidden/>
              </w:rPr>
              <w:fldChar w:fldCharType="separate"/>
            </w:r>
            <w:r>
              <w:rPr>
                <w:noProof/>
                <w:webHidden/>
              </w:rPr>
              <w:t>8</w:t>
            </w:r>
            <w:r>
              <w:rPr>
                <w:noProof/>
                <w:webHidden/>
              </w:rPr>
              <w:fldChar w:fldCharType="end"/>
            </w:r>
          </w:hyperlink>
        </w:p>
        <w:p w14:paraId="6FA20D14" w14:textId="078D67D1"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4" w:history="1">
            <w:r w:rsidRPr="00E36D65">
              <w:rPr>
                <w:rStyle w:val="Lienhypertexte"/>
                <w:noProof/>
              </w:rPr>
              <w:t>2025 (données 2024)</w:t>
            </w:r>
            <w:r>
              <w:rPr>
                <w:noProof/>
                <w:webHidden/>
              </w:rPr>
              <w:tab/>
            </w:r>
            <w:r>
              <w:rPr>
                <w:noProof/>
                <w:webHidden/>
              </w:rPr>
              <w:fldChar w:fldCharType="begin"/>
            </w:r>
            <w:r>
              <w:rPr>
                <w:noProof/>
                <w:webHidden/>
              </w:rPr>
              <w:instrText xml:space="preserve"> PAGEREF _Toc190443704 \h </w:instrText>
            </w:r>
            <w:r>
              <w:rPr>
                <w:noProof/>
                <w:webHidden/>
              </w:rPr>
            </w:r>
            <w:r>
              <w:rPr>
                <w:noProof/>
                <w:webHidden/>
              </w:rPr>
              <w:fldChar w:fldCharType="separate"/>
            </w:r>
            <w:r>
              <w:rPr>
                <w:noProof/>
                <w:webHidden/>
              </w:rPr>
              <w:t>8</w:t>
            </w:r>
            <w:r>
              <w:rPr>
                <w:noProof/>
                <w:webHidden/>
              </w:rPr>
              <w:fldChar w:fldCharType="end"/>
            </w:r>
          </w:hyperlink>
        </w:p>
        <w:p w14:paraId="36DC98B3" w14:textId="3D62BDFB"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5" w:history="1">
            <w:r w:rsidRPr="00E36D65">
              <w:rPr>
                <w:rStyle w:val="Lienhypertexte"/>
                <w:noProof/>
              </w:rPr>
              <w:t>2024 (données 2023)</w:t>
            </w:r>
            <w:r>
              <w:rPr>
                <w:noProof/>
                <w:webHidden/>
              </w:rPr>
              <w:tab/>
            </w:r>
            <w:r>
              <w:rPr>
                <w:noProof/>
                <w:webHidden/>
              </w:rPr>
              <w:fldChar w:fldCharType="begin"/>
            </w:r>
            <w:r>
              <w:rPr>
                <w:noProof/>
                <w:webHidden/>
              </w:rPr>
              <w:instrText xml:space="preserve"> PAGEREF _Toc190443705 \h </w:instrText>
            </w:r>
            <w:r>
              <w:rPr>
                <w:noProof/>
                <w:webHidden/>
              </w:rPr>
            </w:r>
            <w:r>
              <w:rPr>
                <w:noProof/>
                <w:webHidden/>
              </w:rPr>
              <w:fldChar w:fldCharType="separate"/>
            </w:r>
            <w:r>
              <w:rPr>
                <w:noProof/>
                <w:webHidden/>
              </w:rPr>
              <w:t>8</w:t>
            </w:r>
            <w:r>
              <w:rPr>
                <w:noProof/>
                <w:webHidden/>
              </w:rPr>
              <w:fldChar w:fldCharType="end"/>
            </w:r>
          </w:hyperlink>
        </w:p>
        <w:p w14:paraId="47DADC2D" w14:textId="4A617CB4"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6" w:history="1">
            <w:r w:rsidRPr="00E36D65">
              <w:rPr>
                <w:rStyle w:val="Lienhypertexte"/>
                <w:noProof/>
              </w:rPr>
              <w:t>2023 (données 2022)</w:t>
            </w:r>
            <w:r>
              <w:rPr>
                <w:noProof/>
                <w:webHidden/>
              </w:rPr>
              <w:tab/>
            </w:r>
            <w:r>
              <w:rPr>
                <w:noProof/>
                <w:webHidden/>
              </w:rPr>
              <w:fldChar w:fldCharType="begin"/>
            </w:r>
            <w:r>
              <w:rPr>
                <w:noProof/>
                <w:webHidden/>
              </w:rPr>
              <w:instrText xml:space="preserve"> PAGEREF _Toc190443706 \h </w:instrText>
            </w:r>
            <w:r>
              <w:rPr>
                <w:noProof/>
                <w:webHidden/>
              </w:rPr>
            </w:r>
            <w:r>
              <w:rPr>
                <w:noProof/>
                <w:webHidden/>
              </w:rPr>
              <w:fldChar w:fldCharType="separate"/>
            </w:r>
            <w:r>
              <w:rPr>
                <w:noProof/>
                <w:webHidden/>
              </w:rPr>
              <w:t>8</w:t>
            </w:r>
            <w:r>
              <w:rPr>
                <w:noProof/>
                <w:webHidden/>
              </w:rPr>
              <w:fldChar w:fldCharType="end"/>
            </w:r>
          </w:hyperlink>
        </w:p>
        <w:p w14:paraId="323D7953" w14:textId="7FD5A5C8"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7" w:history="1">
            <w:r w:rsidRPr="00E36D65">
              <w:rPr>
                <w:rStyle w:val="Lienhypertexte"/>
                <w:noProof/>
              </w:rPr>
              <w:t>2022 (données 2021)</w:t>
            </w:r>
            <w:r>
              <w:rPr>
                <w:noProof/>
                <w:webHidden/>
              </w:rPr>
              <w:tab/>
            </w:r>
            <w:r>
              <w:rPr>
                <w:noProof/>
                <w:webHidden/>
              </w:rPr>
              <w:fldChar w:fldCharType="begin"/>
            </w:r>
            <w:r>
              <w:rPr>
                <w:noProof/>
                <w:webHidden/>
              </w:rPr>
              <w:instrText xml:space="preserve"> PAGEREF _Toc190443707 \h </w:instrText>
            </w:r>
            <w:r>
              <w:rPr>
                <w:noProof/>
                <w:webHidden/>
              </w:rPr>
            </w:r>
            <w:r>
              <w:rPr>
                <w:noProof/>
                <w:webHidden/>
              </w:rPr>
              <w:fldChar w:fldCharType="separate"/>
            </w:r>
            <w:r>
              <w:rPr>
                <w:noProof/>
                <w:webHidden/>
              </w:rPr>
              <w:t>9</w:t>
            </w:r>
            <w:r>
              <w:rPr>
                <w:noProof/>
                <w:webHidden/>
              </w:rPr>
              <w:fldChar w:fldCharType="end"/>
            </w:r>
          </w:hyperlink>
        </w:p>
        <w:p w14:paraId="7B6429DC" w14:textId="45302054" w:rsidR="00175309" w:rsidRDefault="00175309">
          <w:pPr>
            <w:pStyle w:val="TM1"/>
            <w:tabs>
              <w:tab w:val="right" w:leader="dot" w:pos="9062"/>
            </w:tabs>
            <w:rPr>
              <w:rFonts w:eastAsiaTheme="minorEastAsia"/>
              <w:noProof/>
              <w:kern w:val="2"/>
              <w:sz w:val="24"/>
              <w:szCs w:val="24"/>
              <w:lang w:eastAsia="fr-FR"/>
              <w14:ligatures w14:val="standardContextual"/>
            </w:rPr>
          </w:pPr>
          <w:hyperlink w:anchor="_Toc190443708" w:history="1">
            <w:r w:rsidRPr="00E36D65">
              <w:rPr>
                <w:rStyle w:val="Lienhypertexte"/>
                <w:noProof/>
              </w:rPr>
              <w:t>Plan de développement</w:t>
            </w:r>
            <w:r>
              <w:rPr>
                <w:noProof/>
                <w:webHidden/>
              </w:rPr>
              <w:tab/>
            </w:r>
            <w:r>
              <w:rPr>
                <w:noProof/>
                <w:webHidden/>
              </w:rPr>
              <w:fldChar w:fldCharType="begin"/>
            </w:r>
            <w:r>
              <w:rPr>
                <w:noProof/>
                <w:webHidden/>
              </w:rPr>
              <w:instrText xml:space="preserve"> PAGEREF _Toc190443708 \h </w:instrText>
            </w:r>
            <w:r>
              <w:rPr>
                <w:noProof/>
                <w:webHidden/>
              </w:rPr>
            </w:r>
            <w:r>
              <w:rPr>
                <w:noProof/>
                <w:webHidden/>
              </w:rPr>
              <w:fldChar w:fldCharType="separate"/>
            </w:r>
            <w:r>
              <w:rPr>
                <w:noProof/>
                <w:webHidden/>
              </w:rPr>
              <w:t>10</w:t>
            </w:r>
            <w:r>
              <w:rPr>
                <w:noProof/>
                <w:webHidden/>
              </w:rPr>
              <w:fldChar w:fldCharType="end"/>
            </w:r>
          </w:hyperlink>
        </w:p>
        <w:p w14:paraId="4CA6CC6A" w14:textId="584B3F83"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09" w:history="1">
            <w:r w:rsidRPr="00E36D65">
              <w:rPr>
                <w:rStyle w:val="Lienhypertexte"/>
                <w:noProof/>
              </w:rPr>
              <w:t>2025</w:t>
            </w:r>
            <w:r>
              <w:rPr>
                <w:noProof/>
                <w:webHidden/>
              </w:rPr>
              <w:tab/>
            </w:r>
            <w:r>
              <w:rPr>
                <w:noProof/>
                <w:webHidden/>
              </w:rPr>
              <w:fldChar w:fldCharType="begin"/>
            </w:r>
            <w:r>
              <w:rPr>
                <w:noProof/>
                <w:webHidden/>
              </w:rPr>
              <w:instrText xml:space="preserve"> PAGEREF _Toc190443709 \h </w:instrText>
            </w:r>
            <w:r>
              <w:rPr>
                <w:noProof/>
                <w:webHidden/>
              </w:rPr>
            </w:r>
            <w:r>
              <w:rPr>
                <w:noProof/>
                <w:webHidden/>
              </w:rPr>
              <w:fldChar w:fldCharType="separate"/>
            </w:r>
            <w:r>
              <w:rPr>
                <w:noProof/>
                <w:webHidden/>
              </w:rPr>
              <w:t>10</w:t>
            </w:r>
            <w:r>
              <w:rPr>
                <w:noProof/>
                <w:webHidden/>
              </w:rPr>
              <w:fldChar w:fldCharType="end"/>
            </w:r>
          </w:hyperlink>
        </w:p>
        <w:p w14:paraId="35FCE323" w14:textId="1063910A"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10" w:history="1">
            <w:r w:rsidRPr="00E36D65">
              <w:rPr>
                <w:rStyle w:val="Lienhypertexte"/>
                <w:noProof/>
              </w:rPr>
              <w:t>2024</w:t>
            </w:r>
            <w:r>
              <w:rPr>
                <w:noProof/>
                <w:webHidden/>
              </w:rPr>
              <w:tab/>
            </w:r>
            <w:r>
              <w:rPr>
                <w:noProof/>
                <w:webHidden/>
              </w:rPr>
              <w:fldChar w:fldCharType="begin"/>
            </w:r>
            <w:r>
              <w:rPr>
                <w:noProof/>
                <w:webHidden/>
              </w:rPr>
              <w:instrText xml:space="preserve"> PAGEREF _Toc190443710 \h </w:instrText>
            </w:r>
            <w:r>
              <w:rPr>
                <w:noProof/>
                <w:webHidden/>
              </w:rPr>
            </w:r>
            <w:r>
              <w:rPr>
                <w:noProof/>
                <w:webHidden/>
              </w:rPr>
              <w:fldChar w:fldCharType="separate"/>
            </w:r>
            <w:r>
              <w:rPr>
                <w:noProof/>
                <w:webHidden/>
              </w:rPr>
              <w:t>10</w:t>
            </w:r>
            <w:r>
              <w:rPr>
                <w:noProof/>
                <w:webHidden/>
              </w:rPr>
              <w:fldChar w:fldCharType="end"/>
            </w:r>
          </w:hyperlink>
        </w:p>
        <w:p w14:paraId="41A28D62" w14:textId="4F910ABA" w:rsidR="00175309" w:rsidRDefault="00175309">
          <w:pPr>
            <w:pStyle w:val="TM2"/>
            <w:tabs>
              <w:tab w:val="right" w:leader="dot" w:pos="9062"/>
            </w:tabs>
            <w:rPr>
              <w:rFonts w:eastAsiaTheme="minorEastAsia"/>
              <w:noProof/>
              <w:kern w:val="2"/>
              <w:sz w:val="24"/>
              <w:szCs w:val="24"/>
              <w:lang w:eastAsia="fr-FR"/>
              <w14:ligatures w14:val="standardContextual"/>
            </w:rPr>
          </w:pPr>
          <w:hyperlink w:anchor="_Toc190443711" w:history="1">
            <w:r w:rsidRPr="00E36D65">
              <w:rPr>
                <w:rStyle w:val="Lienhypertexte"/>
                <w:noProof/>
              </w:rPr>
              <w:t>2023</w:t>
            </w:r>
            <w:r>
              <w:rPr>
                <w:noProof/>
                <w:webHidden/>
              </w:rPr>
              <w:tab/>
            </w:r>
            <w:r>
              <w:rPr>
                <w:noProof/>
                <w:webHidden/>
              </w:rPr>
              <w:fldChar w:fldCharType="begin"/>
            </w:r>
            <w:r>
              <w:rPr>
                <w:noProof/>
                <w:webHidden/>
              </w:rPr>
              <w:instrText xml:space="preserve"> PAGEREF _Toc190443711 \h </w:instrText>
            </w:r>
            <w:r>
              <w:rPr>
                <w:noProof/>
                <w:webHidden/>
              </w:rPr>
            </w:r>
            <w:r>
              <w:rPr>
                <w:noProof/>
                <w:webHidden/>
              </w:rPr>
              <w:fldChar w:fldCharType="separate"/>
            </w:r>
            <w:r>
              <w:rPr>
                <w:noProof/>
                <w:webHidden/>
              </w:rPr>
              <w:t>10</w:t>
            </w:r>
            <w:r>
              <w:rPr>
                <w:noProof/>
                <w:webHidden/>
              </w:rPr>
              <w:fldChar w:fldCharType="end"/>
            </w:r>
          </w:hyperlink>
        </w:p>
        <w:p w14:paraId="1F945CAC" w14:textId="1416B003"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0443693"/>
      <w:r>
        <w:lastRenderedPageBreak/>
        <w:t>Définition du domaine</w:t>
      </w:r>
      <w:bookmarkEnd w:id="0"/>
    </w:p>
    <w:p w14:paraId="4E13D8EC" w14:textId="39CCE6CF" w:rsidR="00E63E85" w:rsidRDefault="00E63E85" w:rsidP="00542EB2">
      <w:r>
        <w:t>La SF adulte regroupe les romans et nouvelles qui explorent les littératures de l’imaginaire destinées à un public adulte.</w:t>
      </w:r>
    </w:p>
    <w:p w14:paraId="3FFBEC71" w14:textId="3FF9F699" w:rsidR="00E63E85" w:rsidRDefault="00E63E85" w:rsidP="00542EB2">
      <w:r>
        <w:t>On distingue 3 sous-genres principaux qui englobent des types de SF ou de Fantasy.</w:t>
      </w:r>
    </w:p>
    <w:p w14:paraId="17248ACC" w14:textId="70297BD6" w:rsidR="00E63E85" w:rsidRDefault="00E63E85" w:rsidP="00542EB2">
      <w:r>
        <w:t xml:space="preserve">Pour les distinguer, la </w:t>
      </w:r>
      <w:r w:rsidR="00317FFB">
        <w:t>parabole</w:t>
      </w:r>
      <w:r>
        <w:t xml:space="preserve"> de « Mon chat parle ».</w:t>
      </w:r>
    </w:p>
    <w:p w14:paraId="4B3C8157" w14:textId="56ADC3C5" w:rsidR="00E63E85" w:rsidRDefault="00E63E85" w:rsidP="00AE336F">
      <w:pPr>
        <w:pStyle w:val="Paragraphedeliste"/>
        <w:numPr>
          <w:ilvl w:val="0"/>
          <w:numId w:val="3"/>
        </w:numPr>
      </w:pPr>
      <w:r>
        <w:t xml:space="preserve">Mon chat parle </w:t>
      </w:r>
      <w:r w:rsidRPr="005E54AC">
        <w:rPr>
          <w:u w:val="single"/>
        </w:rPr>
        <w:t xml:space="preserve">grâce à une évolution </w:t>
      </w:r>
      <w:r w:rsidR="00317FFB" w:rsidRPr="005E54AC">
        <w:rPr>
          <w:u w:val="single"/>
        </w:rPr>
        <w:t xml:space="preserve">scientifique et/ou </w:t>
      </w:r>
      <w:r w:rsidR="00B557E5" w:rsidRPr="005E54AC">
        <w:rPr>
          <w:u w:val="single"/>
        </w:rPr>
        <w:t>technologique</w:t>
      </w:r>
      <w:r w:rsidR="00B557E5">
        <w:t xml:space="preserve"> = </w:t>
      </w:r>
      <w:r w:rsidR="00317FFB" w:rsidRPr="00AE336F">
        <w:rPr>
          <w:b/>
          <w:bCs/>
        </w:rPr>
        <w:t>Science-fiction</w:t>
      </w:r>
      <w:r w:rsidR="00317FFB">
        <w:t xml:space="preserve"> </w:t>
      </w:r>
    </w:p>
    <w:p w14:paraId="119429A1" w14:textId="45A11995" w:rsidR="00317FFB" w:rsidRDefault="00317FFB" w:rsidP="00317FFB">
      <w:r w:rsidRPr="00317FFB">
        <w:t>Il y a toujours un aspect scientifique</w:t>
      </w:r>
      <w:r>
        <w:t xml:space="preserve">. </w:t>
      </w:r>
      <w:r w:rsidRPr="00317FFB">
        <w:t>L’histoire peut se passer dans le présent, le passé ou le futur,</w:t>
      </w:r>
      <w:r>
        <w:t xml:space="preserve"> i</w:t>
      </w:r>
      <w:r w:rsidRPr="00317FFB">
        <w:t>l n’y a jamais de magie, même si des croyances peuvent prendre place dans le récit</w:t>
      </w:r>
      <w:r>
        <w:t>.</w:t>
      </w:r>
    </w:p>
    <w:p w14:paraId="512A1723" w14:textId="0C1A25AC" w:rsidR="00AE336F" w:rsidRDefault="00317FFB" w:rsidP="00317FFB">
      <w:r>
        <w:t>La science-fiction se décline dans plusieurs courants </w:t>
      </w:r>
      <w:r w:rsidR="00884FEE">
        <w:t xml:space="preserve">qui peuvent se croiser dans les œuvres </w:t>
      </w:r>
      <w:r>
        <w:t>:</w:t>
      </w:r>
      <w:r w:rsidR="00884FEE">
        <w:t xml:space="preserve"> ex : un roman dystopique peut aussi se dérouler dans un univers postapocalyptique.</w:t>
      </w:r>
      <w:r>
        <w:t xml:space="preserve"> </w:t>
      </w:r>
    </w:p>
    <w:p w14:paraId="194FC2D9" w14:textId="35CE74C9" w:rsidR="00AE336F" w:rsidRDefault="00AE336F" w:rsidP="00AE336F">
      <w:r w:rsidRPr="0069145F">
        <w:rPr>
          <w:b/>
          <w:bCs/>
        </w:rPr>
        <w:t>A</w:t>
      </w:r>
      <w:r w:rsidR="00317FFB" w:rsidRPr="0069145F">
        <w:rPr>
          <w:b/>
          <w:bCs/>
        </w:rPr>
        <w:t>nticipation</w:t>
      </w:r>
      <w:r>
        <w:t xml:space="preserve"> : </w:t>
      </w:r>
      <w:r w:rsidR="005E2C15">
        <w:t>l’action se déroule dans un futur ancré dans le réel. L</w:t>
      </w:r>
      <w:r w:rsidR="005E2C15" w:rsidRPr="005E2C15">
        <w:t xml:space="preserve">es possibles évolutions futures </w:t>
      </w:r>
      <w:r w:rsidR="005E2C15">
        <w:t>sont extrapolées et tentent de donner</w:t>
      </w:r>
      <w:r w:rsidR="005E2C15" w:rsidRPr="005E2C15">
        <w:t xml:space="preserve"> un aperçu réaliste du futur.</w:t>
      </w:r>
      <w:r w:rsidR="005E2C15">
        <w:t xml:space="preserve"> Ex : </w:t>
      </w:r>
      <w:r w:rsidR="005E2C15" w:rsidRPr="005E2C15">
        <w:rPr>
          <w:i/>
          <w:iCs/>
        </w:rPr>
        <w:t>la Servante écarlate</w:t>
      </w:r>
      <w:r w:rsidR="005E2C15">
        <w:t xml:space="preserve"> de Margaret Atwood, </w:t>
      </w:r>
      <w:r w:rsidR="005E2C15" w:rsidRPr="005E2C15">
        <w:rPr>
          <w:i/>
          <w:iCs/>
        </w:rPr>
        <w:t>la planète des singes</w:t>
      </w:r>
      <w:r w:rsidR="005E2C15">
        <w:t xml:space="preserve"> de Pierre Boulle. </w:t>
      </w:r>
    </w:p>
    <w:p w14:paraId="2412B6C0" w14:textId="51A35D3B" w:rsidR="00AE336F" w:rsidRDefault="00AE336F" w:rsidP="00AE336F">
      <w:r w:rsidRPr="0069145F">
        <w:rPr>
          <w:b/>
          <w:bCs/>
        </w:rPr>
        <w:t>D</w:t>
      </w:r>
      <w:r w:rsidR="00317FFB" w:rsidRPr="0069145F">
        <w:rPr>
          <w:b/>
          <w:bCs/>
        </w:rPr>
        <w:t>ystopie</w:t>
      </w:r>
      <w:r w:rsidR="00884FEE">
        <w:t> : la</w:t>
      </w:r>
      <w:r w:rsidR="00884FEE" w:rsidRPr="00884FEE">
        <w:t xml:space="preserve"> s</w:t>
      </w:r>
      <w:r w:rsidR="00884FEE">
        <w:t xml:space="preserve">ociété dans </w:t>
      </w:r>
      <w:r w:rsidR="0069145F">
        <w:t>laquelle</w:t>
      </w:r>
      <w:r w:rsidR="00884FEE">
        <w:t xml:space="preserve"> évolue les personnages est caractérisée par son caractère sombre voire sinistre. Le genre évoque souvent la dictature et la privation de libertés</w:t>
      </w:r>
      <w:r w:rsidR="0069145F">
        <w:t xml:space="preserve">. </w:t>
      </w:r>
      <w:r w:rsidR="00884FEE">
        <w:t xml:space="preserve">ex : </w:t>
      </w:r>
      <w:r w:rsidR="00884FEE" w:rsidRPr="00884FEE">
        <w:rPr>
          <w:i/>
          <w:iCs/>
        </w:rPr>
        <w:t>Hunger Games</w:t>
      </w:r>
      <w:r w:rsidR="00884FEE">
        <w:t xml:space="preserve"> de Suzanne Collins, </w:t>
      </w:r>
      <w:r w:rsidR="0069145F" w:rsidRPr="0069145F">
        <w:rPr>
          <w:i/>
          <w:iCs/>
        </w:rPr>
        <w:t>1984</w:t>
      </w:r>
      <w:r w:rsidR="0069145F">
        <w:t xml:space="preserve"> de George Orwell</w:t>
      </w:r>
    </w:p>
    <w:p w14:paraId="1E8DA664" w14:textId="29054489" w:rsidR="00AE336F" w:rsidRDefault="00AE336F" w:rsidP="00AE336F">
      <w:r w:rsidRPr="0069145F">
        <w:rPr>
          <w:b/>
          <w:bCs/>
        </w:rPr>
        <w:t>U</w:t>
      </w:r>
      <w:r w:rsidR="00317FFB" w:rsidRPr="0069145F">
        <w:rPr>
          <w:b/>
          <w:bCs/>
        </w:rPr>
        <w:t>chronie</w:t>
      </w:r>
      <w:r w:rsidR="00127DA2">
        <w:t> : Un évènement du passé est modifié, entraînant un nouveau présent</w:t>
      </w:r>
      <w:r w:rsidR="0069145F">
        <w:t xml:space="preserve"> et une réalité historique alternative</w:t>
      </w:r>
      <w:r w:rsidR="00127DA2">
        <w:t xml:space="preserve">. Ex : </w:t>
      </w:r>
      <w:r w:rsidR="00127DA2" w:rsidRPr="00884FEE">
        <w:rPr>
          <w:i/>
          <w:iCs/>
        </w:rPr>
        <w:t xml:space="preserve">Le maître du haut château </w:t>
      </w:r>
      <w:r w:rsidR="00127DA2">
        <w:t>de Philip K Dick</w:t>
      </w:r>
    </w:p>
    <w:p w14:paraId="538C3AF8" w14:textId="0D45F403" w:rsidR="00AE336F" w:rsidRDefault="00AE336F" w:rsidP="00AE336F">
      <w:r w:rsidRPr="0069145F">
        <w:rPr>
          <w:b/>
          <w:bCs/>
        </w:rPr>
        <w:t>P</w:t>
      </w:r>
      <w:r w:rsidR="00317FFB" w:rsidRPr="0069145F">
        <w:rPr>
          <w:b/>
          <w:bCs/>
        </w:rPr>
        <w:t>ostapocalyptique</w:t>
      </w:r>
      <w:r w:rsidR="00884FEE">
        <w:t> :</w:t>
      </w:r>
      <w:r w:rsidR="005E2C15">
        <w:t xml:space="preserve"> le récit décrit une situation </w:t>
      </w:r>
      <w:r w:rsidR="005E2C15" w:rsidRPr="005E2C15">
        <w:t>après une catastrophe ayant détruit la civilisation : guerre nucléaire, collision avec une météorite, crise économique ou de l'énergie, pandémie, invasion ...</w:t>
      </w:r>
      <w:r w:rsidR="00884FEE">
        <w:t xml:space="preserve"> </w:t>
      </w:r>
      <w:r w:rsidR="005E2C15" w:rsidRPr="005E2C15">
        <w:rPr>
          <w:i/>
          <w:iCs/>
        </w:rPr>
        <w:t>La route</w:t>
      </w:r>
      <w:r w:rsidR="005E2C15">
        <w:t xml:space="preserve"> de Cormac McCarthy, </w:t>
      </w:r>
      <w:r w:rsidR="00884FEE" w:rsidRPr="00884FEE">
        <w:rPr>
          <w:i/>
          <w:iCs/>
        </w:rPr>
        <w:t>Dans la forêt</w:t>
      </w:r>
      <w:r w:rsidR="00884FEE">
        <w:t xml:space="preserve"> de Jean Hegland</w:t>
      </w:r>
      <w:r w:rsidR="005E2C15">
        <w:t xml:space="preserve">, </w:t>
      </w:r>
      <w:r w:rsidR="005E2C15" w:rsidRPr="005E2C15">
        <w:rPr>
          <w:i/>
          <w:iCs/>
        </w:rPr>
        <w:t>World War Z</w:t>
      </w:r>
      <w:r w:rsidR="005E2C15">
        <w:t xml:space="preserve"> de Max Brooks.</w:t>
      </w:r>
    </w:p>
    <w:p w14:paraId="37DE3ABA" w14:textId="2DC5364D" w:rsidR="00AE336F" w:rsidRDefault="00AE336F" w:rsidP="00AE336F">
      <w:r w:rsidRPr="0069145F">
        <w:rPr>
          <w:b/>
          <w:bCs/>
        </w:rPr>
        <w:t>H</w:t>
      </w:r>
      <w:r w:rsidR="00B557E5" w:rsidRPr="0069145F">
        <w:rPr>
          <w:b/>
          <w:bCs/>
        </w:rPr>
        <w:t>ard SF</w:t>
      </w:r>
      <w:r>
        <w:t> : caractérisée par des détails scientifiques et technologiques</w:t>
      </w:r>
      <w:r w:rsidR="0069145F">
        <w:t xml:space="preserve"> rigoureux</w:t>
      </w:r>
      <w:r>
        <w:t xml:space="preserve"> qui ne sont pas en contradiction avec l’évolution historique, les connaissances et l’état de la société actuelle. </w:t>
      </w:r>
      <w:r w:rsidR="00127DA2">
        <w:t xml:space="preserve">Ex : </w:t>
      </w:r>
      <w:r w:rsidR="00127DA2" w:rsidRPr="00127DA2">
        <w:rPr>
          <w:i/>
          <w:iCs/>
        </w:rPr>
        <w:t>Le problème à trois corps</w:t>
      </w:r>
      <w:r w:rsidR="00127DA2">
        <w:t xml:space="preserve"> de Liu Cixin, </w:t>
      </w:r>
      <w:r w:rsidR="00127DA2" w:rsidRPr="00127DA2">
        <w:rPr>
          <w:i/>
          <w:iCs/>
        </w:rPr>
        <w:t>Seul sur Mars</w:t>
      </w:r>
      <w:r w:rsidR="00127DA2">
        <w:t xml:space="preserve"> de Andy Weir.</w:t>
      </w:r>
    </w:p>
    <w:p w14:paraId="1FEE3C94" w14:textId="3E46F264" w:rsidR="00AE336F" w:rsidRPr="00A27337" w:rsidRDefault="00AE336F" w:rsidP="00AE336F">
      <w:r w:rsidRPr="0069145F">
        <w:rPr>
          <w:b/>
          <w:bCs/>
        </w:rPr>
        <w:t>S</w:t>
      </w:r>
      <w:r w:rsidR="00B557E5" w:rsidRPr="0069145F">
        <w:rPr>
          <w:b/>
          <w:bCs/>
        </w:rPr>
        <w:t>pace-opera</w:t>
      </w:r>
      <w:r>
        <w:t xml:space="preserve"> : </w:t>
      </w:r>
      <w:r w:rsidR="0056131A" w:rsidRPr="0056131A">
        <w:t>m</w:t>
      </w:r>
      <w:r w:rsidR="0056131A">
        <w:t>ise</w:t>
      </w:r>
      <w:r w:rsidR="0056131A" w:rsidRPr="0056131A">
        <w:t xml:space="preserve"> en scène d</w:t>
      </w:r>
      <w:r w:rsidR="0056131A">
        <w:t>’</w:t>
      </w:r>
      <w:r w:rsidR="0056131A" w:rsidRPr="0056131A">
        <w:t>aventures épiques dans l'espace</w:t>
      </w:r>
      <w:r w:rsidR="0056131A">
        <w:t>. L’humain a colonisé des planètes et se déplace dans l’espace intersidéral.</w:t>
      </w:r>
      <w:r w:rsidR="00127DA2">
        <w:t xml:space="preserve"> Ex : </w:t>
      </w:r>
      <w:r w:rsidR="00127DA2" w:rsidRPr="00127DA2">
        <w:rPr>
          <w:i/>
          <w:iCs/>
        </w:rPr>
        <w:t>Dune</w:t>
      </w:r>
      <w:r w:rsidR="00127DA2">
        <w:t xml:space="preserve"> de Frank Herbert, </w:t>
      </w:r>
      <w:r w:rsidR="00A27337">
        <w:rPr>
          <w:i/>
          <w:iCs/>
        </w:rPr>
        <w:t xml:space="preserve">Valérian </w:t>
      </w:r>
      <w:r w:rsidR="00A27337">
        <w:t>de Christin et Mézières.</w:t>
      </w:r>
    </w:p>
    <w:p w14:paraId="5157D051" w14:textId="4B8E147F" w:rsidR="00AE336F" w:rsidRDefault="00AE336F" w:rsidP="00AE336F">
      <w:r w:rsidRPr="0069145F">
        <w:rPr>
          <w:b/>
          <w:bCs/>
        </w:rPr>
        <w:t>S</w:t>
      </w:r>
      <w:r w:rsidR="00B557E5" w:rsidRPr="0069145F">
        <w:rPr>
          <w:b/>
          <w:bCs/>
        </w:rPr>
        <w:t>teampunk</w:t>
      </w:r>
      <w:r w:rsidR="00884FEE">
        <w:t> :</w:t>
      </w:r>
      <w:r w:rsidR="0069145F" w:rsidRPr="0069145F">
        <w:t xml:space="preserve"> </w:t>
      </w:r>
      <w:r w:rsidR="0069145F">
        <w:t>l’action se déroule dans une ambiance caractérisée par l’esthétique et la technologie du 19</w:t>
      </w:r>
      <w:r w:rsidR="0069145F" w:rsidRPr="0069145F">
        <w:rPr>
          <w:vertAlign w:val="superscript"/>
        </w:rPr>
        <w:t>ème</w:t>
      </w:r>
      <w:r w:rsidR="0069145F">
        <w:t xml:space="preserve"> siècle, une réalité alternative où le progrès est basé sur la technologie de la machine à vapeur. Un monde où les inventions de Da Vinci ou Jules Verne seraient courantes.  </w:t>
      </w:r>
      <w:r w:rsidR="0069145F" w:rsidRPr="0069145F">
        <w:rPr>
          <w:i/>
          <w:iCs/>
        </w:rPr>
        <w:t>Rouille</w:t>
      </w:r>
      <w:r w:rsidR="0069145F">
        <w:t xml:space="preserve"> de Floriane Soulas, </w:t>
      </w:r>
      <w:r w:rsidR="0069145F" w:rsidRPr="0069145F">
        <w:rPr>
          <w:i/>
          <w:iCs/>
        </w:rPr>
        <w:t>les mystères de Larispem</w:t>
      </w:r>
      <w:r w:rsidR="0069145F">
        <w:t xml:space="preserve"> de Lucie Pierrat-Pajot, </w:t>
      </w:r>
      <w:r w:rsidR="0069145F" w:rsidRPr="0069145F">
        <w:rPr>
          <w:i/>
          <w:iCs/>
        </w:rPr>
        <w:t>Engrenages et sortilèges</w:t>
      </w:r>
      <w:r w:rsidR="0069145F">
        <w:t xml:space="preserve"> de Adrien Tomas.</w:t>
      </w:r>
    </w:p>
    <w:p w14:paraId="330E09D9" w14:textId="5ECAE3C2" w:rsidR="00317FFB" w:rsidRPr="0069145F" w:rsidRDefault="00AE336F" w:rsidP="00AE336F">
      <w:r w:rsidRPr="0069145F">
        <w:rPr>
          <w:b/>
          <w:bCs/>
        </w:rPr>
        <w:t>C</w:t>
      </w:r>
      <w:r w:rsidR="00B557E5" w:rsidRPr="0069145F">
        <w:rPr>
          <w:b/>
          <w:bCs/>
        </w:rPr>
        <w:t>yber-pun</w:t>
      </w:r>
      <w:r w:rsidRPr="0069145F">
        <w:rPr>
          <w:b/>
          <w:bCs/>
        </w:rPr>
        <w:t>k</w:t>
      </w:r>
      <w:r w:rsidR="0069145F">
        <w:rPr>
          <w:b/>
          <w:bCs/>
        </w:rPr>
        <w:t> </w:t>
      </w:r>
      <w:r w:rsidR="0069145F">
        <w:t xml:space="preserve">: </w:t>
      </w:r>
      <w:r w:rsidR="00366FC9">
        <w:t>Le f</w:t>
      </w:r>
      <w:r w:rsidR="0069145F">
        <w:t xml:space="preserve">utur </w:t>
      </w:r>
      <w:r w:rsidR="00366FC9">
        <w:t xml:space="preserve">y est </w:t>
      </w:r>
      <w:r w:rsidR="0069145F">
        <w:t>à tendance apocalyptique et ultra technologique</w:t>
      </w:r>
      <w:r w:rsidR="00C976A8">
        <w:t>, on y retrouve l</w:t>
      </w:r>
      <w:r w:rsidR="00366FC9" w:rsidRPr="00366FC9">
        <w:t>es thématiques du hackeur, de l'intelligence artificielle et de</w:t>
      </w:r>
      <w:r w:rsidR="00C976A8">
        <w:t xml:space="preserve"> la robotique</w:t>
      </w:r>
      <w:r w:rsidR="00366FC9" w:rsidRPr="00366FC9">
        <w:t xml:space="preserve"> se déroulant la plupart du temps dans un futur proche sur Terre.</w:t>
      </w:r>
      <w:r w:rsidR="00C976A8">
        <w:t xml:space="preserve"> </w:t>
      </w:r>
      <w:r w:rsidR="00C976A8" w:rsidRPr="00C976A8">
        <w:rPr>
          <w:i/>
          <w:iCs/>
        </w:rPr>
        <w:t>Neuromancien</w:t>
      </w:r>
      <w:r w:rsidR="00C976A8">
        <w:t xml:space="preserve"> de William Gibson, </w:t>
      </w:r>
      <w:r w:rsidR="00C976A8" w:rsidRPr="00C976A8">
        <w:rPr>
          <w:i/>
          <w:iCs/>
        </w:rPr>
        <w:t>Blade Runner</w:t>
      </w:r>
      <w:r w:rsidR="00C976A8">
        <w:t xml:space="preserve"> de </w:t>
      </w:r>
      <w:r w:rsidR="00C74E25">
        <w:t>Philip K Dick</w:t>
      </w:r>
      <w:r w:rsidR="00C976A8">
        <w:t>.</w:t>
      </w:r>
    </w:p>
    <w:p w14:paraId="154D6FE5" w14:textId="0974302A" w:rsidR="00317FFB" w:rsidRDefault="00317FFB" w:rsidP="00AE336F">
      <w:pPr>
        <w:pStyle w:val="Paragraphedeliste"/>
        <w:numPr>
          <w:ilvl w:val="0"/>
          <w:numId w:val="3"/>
        </w:numPr>
      </w:pPr>
      <w:r>
        <w:t xml:space="preserve">Mon chat parle </w:t>
      </w:r>
      <w:r w:rsidRPr="005E54AC">
        <w:rPr>
          <w:u w:val="single"/>
        </w:rPr>
        <w:t>mais je ne comprends pas pourquoi ? D’ailleurs parle-t-il vraiment ?</w:t>
      </w:r>
      <w:r w:rsidR="00B557E5">
        <w:t xml:space="preserve"> = </w:t>
      </w:r>
      <w:r w:rsidR="00B557E5" w:rsidRPr="00AE336F">
        <w:rPr>
          <w:b/>
          <w:bCs/>
        </w:rPr>
        <w:t>Fantastique</w:t>
      </w:r>
    </w:p>
    <w:p w14:paraId="64B02E9E" w14:textId="25BF1F2F" w:rsidR="00317FFB" w:rsidRDefault="00B557E5" w:rsidP="00317FFB">
      <w:r>
        <w:lastRenderedPageBreak/>
        <w:t>L’action</w:t>
      </w:r>
      <w:r w:rsidR="00317FFB" w:rsidRPr="00317FFB">
        <w:t xml:space="preserve"> se passe dans un univers réaliste, mais fait intervenir des éléments surnaturels, irrationnels ou illogiques. De fait, le lecteur doute et hésite, puisqu’il n’y a pas d’explication rationnelle aux événements.</w:t>
      </w:r>
      <w:r w:rsidRPr="00B557E5">
        <w:t xml:space="preserve"> Le fait surnaturel suscite souvent de la terreur, de l’incompréhension ou de la fascination, mais il n’est jamais accepté par les personnages</w:t>
      </w:r>
      <w:r>
        <w:t>.</w:t>
      </w:r>
    </w:p>
    <w:p w14:paraId="036540EF" w14:textId="5C6573B3" w:rsidR="006A2230" w:rsidRDefault="006A2230" w:rsidP="00317FFB">
      <w:r w:rsidRPr="006A2230">
        <w:rPr>
          <w:i/>
          <w:iCs/>
        </w:rPr>
        <w:t>Le Horla</w:t>
      </w:r>
      <w:r>
        <w:t xml:space="preserve"> de Maupassant, </w:t>
      </w:r>
      <w:r w:rsidRPr="006A2230">
        <w:rPr>
          <w:i/>
          <w:iCs/>
        </w:rPr>
        <w:t>William Wilson</w:t>
      </w:r>
      <w:r>
        <w:t xml:space="preserve"> de Edgar Allan Poe, </w:t>
      </w:r>
      <w:r w:rsidRPr="006A2230">
        <w:rPr>
          <w:i/>
          <w:iCs/>
        </w:rPr>
        <w:t>Notre part de nuit</w:t>
      </w:r>
      <w:r>
        <w:t xml:space="preserve"> de Mariana Enriquez</w:t>
      </w:r>
    </w:p>
    <w:p w14:paraId="431D0EB7" w14:textId="4D402A74" w:rsidR="00B557E5" w:rsidRDefault="00B557E5" w:rsidP="00AE336F">
      <w:pPr>
        <w:pStyle w:val="Paragraphedeliste"/>
        <w:numPr>
          <w:ilvl w:val="0"/>
          <w:numId w:val="3"/>
        </w:numPr>
      </w:pPr>
      <w:r>
        <w:t>Mon cha</w:t>
      </w:r>
      <w:r w:rsidR="00AE336F">
        <w:t>t</w:t>
      </w:r>
      <w:r>
        <w:t xml:space="preserve"> parle </w:t>
      </w:r>
      <w:r w:rsidR="00F0135B">
        <w:t xml:space="preserve">et </w:t>
      </w:r>
      <w:r w:rsidR="00F0135B" w:rsidRPr="005E54AC">
        <w:rPr>
          <w:u w:val="single"/>
        </w:rPr>
        <w:t>c’est tout à fait normal car la magie r</w:t>
      </w:r>
      <w:r w:rsidR="002B3DF5" w:rsidRPr="005E54AC">
        <w:rPr>
          <w:u w:val="single"/>
        </w:rPr>
        <w:t>elève</w:t>
      </w:r>
      <w:r w:rsidR="00F0135B" w:rsidRPr="005E54AC">
        <w:rPr>
          <w:u w:val="single"/>
        </w:rPr>
        <w:t xml:space="preserve"> de la norme</w:t>
      </w:r>
      <w:r w:rsidR="00F0135B">
        <w:t xml:space="preserve"> = </w:t>
      </w:r>
      <w:r w:rsidR="00F0135B" w:rsidRPr="00F0135B">
        <w:rPr>
          <w:b/>
          <w:bCs/>
        </w:rPr>
        <w:t xml:space="preserve">Fantasy </w:t>
      </w:r>
    </w:p>
    <w:p w14:paraId="7C9C7A45" w14:textId="77777777" w:rsidR="00C976A8" w:rsidRDefault="00B557E5" w:rsidP="00B557E5">
      <w:r>
        <w:t>D</w:t>
      </w:r>
      <w:r w:rsidRPr="00B557E5">
        <w:t xml:space="preserve">ans un monde fantasy, l’irrationnel est la norme, dans un monde alternatif au nôtre ou complètement imaginé. Cet univers a ses propres règles, ses propres lois, voire ses propres mythes, langages et croyances. La fantasy </w:t>
      </w:r>
      <w:r>
        <w:t xml:space="preserve">possède de multiples courants ou sous-genres : </w:t>
      </w:r>
    </w:p>
    <w:p w14:paraId="59C93E40" w14:textId="7BA3CBDF" w:rsidR="005F37B4" w:rsidRDefault="005C626F" w:rsidP="00B557E5">
      <w:r w:rsidRPr="005C626F">
        <w:rPr>
          <w:b/>
          <w:bCs/>
        </w:rPr>
        <w:t>H</w:t>
      </w:r>
      <w:r w:rsidR="00F0135B" w:rsidRPr="005C626F">
        <w:rPr>
          <w:b/>
          <w:bCs/>
        </w:rPr>
        <w:t>igh fantasy</w:t>
      </w:r>
      <w:r>
        <w:t> :</w:t>
      </w:r>
      <w:r w:rsidR="005F37B4" w:rsidRPr="005F37B4">
        <w:t xml:space="preserve"> </w:t>
      </w:r>
      <w:r w:rsidR="005F37B4">
        <w:t>Dès le début de l’œuvre, le monde est un univers fantasy et il n’en existe pas d’autres : ex : la terre du milieu</w:t>
      </w:r>
      <w:r w:rsidR="00C74E25">
        <w:t xml:space="preserve"> dans</w:t>
      </w:r>
      <w:r w:rsidR="005F37B4">
        <w:t xml:space="preserve"> </w:t>
      </w:r>
      <w:r w:rsidR="005F37B4" w:rsidRPr="005F37B4">
        <w:rPr>
          <w:i/>
          <w:iCs/>
        </w:rPr>
        <w:t>Le Seigneur des anneaux</w:t>
      </w:r>
      <w:r w:rsidR="005F37B4">
        <w:t xml:space="preserve"> de J.R.R. Tolkien. Le genre se compare souvent à la </w:t>
      </w:r>
      <w:r w:rsidR="005F37B4" w:rsidRPr="005F37B4">
        <w:rPr>
          <w:b/>
          <w:bCs/>
        </w:rPr>
        <w:t>low fantasy</w:t>
      </w:r>
      <w:r w:rsidR="005F37B4">
        <w:t xml:space="preserve">, le monde tel que nous le </w:t>
      </w:r>
      <w:r w:rsidR="005E54AC">
        <w:t>connaissons</w:t>
      </w:r>
      <w:r w:rsidR="005F37B4">
        <w:t xml:space="preserve"> existe mais nous acceptons la réalité d’un monde imaginaire : </w:t>
      </w:r>
      <w:r w:rsidR="005F37B4" w:rsidRPr="005F37B4">
        <w:rPr>
          <w:i/>
          <w:iCs/>
        </w:rPr>
        <w:t>Harry Potter à l’école des sorciers</w:t>
      </w:r>
      <w:r w:rsidR="005F37B4">
        <w:t xml:space="preserve"> de J.K. Rowling, </w:t>
      </w:r>
      <w:r w:rsidR="005F37B4">
        <w:rPr>
          <w:i/>
          <w:iCs/>
        </w:rPr>
        <w:t>L</w:t>
      </w:r>
      <w:r w:rsidR="005F37B4" w:rsidRPr="005F37B4">
        <w:rPr>
          <w:i/>
          <w:iCs/>
        </w:rPr>
        <w:t xml:space="preserve">es chroniques de Narnia </w:t>
      </w:r>
      <w:r w:rsidR="005F37B4">
        <w:t>de C.S. Lewis.</w:t>
      </w:r>
    </w:p>
    <w:p w14:paraId="3003ACDE" w14:textId="17CB59BC" w:rsidR="005F37B4" w:rsidRDefault="005F37B4" w:rsidP="00B557E5">
      <w:r w:rsidRPr="005F37B4">
        <w:rPr>
          <w:b/>
          <w:bCs/>
        </w:rPr>
        <w:t>R</w:t>
      </w:r>
      <w:r w:rsidR="00F0135B" w:rsidRPr="005F37B4">
        <w:rPr>
          <w:b/>
          <w:bCs/>
        </w:rPr>
        <w:t>omantasy</w:t>
      </w:r>
      <w:r>
        <w:t xml:space="preserve"> : </w:t>
      </w:r>
      <w:r w:rsidR="00F0135B">
        <w:t xml:space="preserve"> </w:t>
      </w:r>
      <w:r w:rsidR="006A7026">
        <w:t xml:space="preserve">l’histoire d’amour est au centre du récit, souvent une héroïne tombe </w:t>
      </w:r>
      <w:r w:rsidR="005E54AC">
        <w:t>amoureuse</w:t>
      </w:r>
      <w:r w:rsidR="006A7026">
        <w:t xml:space="preserve"> d’une créature surnaturelle (vampire, fée, sorcier, elfe…) ou la romance se passe dans un monde imaginaire Ex : </w:t>
      </w:r>
      <w:r w:rsidR="006A7026" w:rsidRPr="006A7026">
        <w:rPr>
          <w:i/>
          <w:iCs/>
        </w:rPr>
        <w:t>Un palais d’épines et de roses</w:t>
      </w:r>
      <w:r w:rsidR="006A7026">
        <w:t xml:space="preserve"> de Sarah J Maas, </w:t>
      </w:r>
      <w:r w:rsidR="006A7026" w:rsidRPr="006A7026">
        <w:rPr>
          <w:i/>
          <w:iCs/>
        </w:rPr>
        <w:t>Fourth Wing</w:t>
      </w:r>
      <w:r w:rsidR="006A7026">
        <w:t xml:space="preserve"> de Rebecca Yarros.</w:t>
      </w:r>
    </w:p>
    <w:p w14:paraId="0D699F29" w14:textId="5D6A4F1D" w:rsidR="005F37B4" w:rsidRDefault="005F37B4" w:rsidP="00B557E5">
      <w:r w:rsidRPr="005F37B4">
        <w:rPr>
          <w:b/>
          <w:bCs/>
        </w:rPr>
        <w:t>M</w:t>
      </w:r>
      <w:r w:rsidR="00F0135B" w:rsidRPr="005F37B4">
        <w:rPr>
          <w:b/>
          <w:bCs/>
        </w:rPr>
        <w:t>edieval fantasy</w:t>
      </w:r>
      <w:r>
        <w:t> :</w:t>
      </w:r>
      <w:r w:rsidR="000D273C">
        <w:t xml:space="preserve"> Regroupe</w:t>
      </w:r>
      <w:r>
        <w:t xml:space="preserve"> </w:t>
      </w:r>
      <w:r w:rsidR="000D273C">
        <w:t>d</w:t>
      </w:r>
      <w:r w:rsidR="000D273C" w:rsidRPr="000D273C">
        <w:t xml:space="preserve">es ouvrages </w:t>
      </w:r>
      <w:r w:rsidR="000D273C">
        <w:t xml:space="preserve">qui empruntent au cadre médiéval avec des maisons nobles, des structures féodales, des guerres de territoire ou de succession : ex : </w:t>
      </w:r>
      <w:r w:rsidR="000D273C">
        <w:rPr>
          <w:i/>
          <w:iCs/>
        </w:rPr>
        <w:t>L</w:t>
      </w:r>
      <w:r w:rsidR="000D273C" w:rsidRPr="000D273C">
        <w:rPr>
          <w:i/>
          <w:iCs/>
        </w:rPr>
        <w:t>e trône de fer</w:t>
      </w:r>
      <w:r w:rsidR="000D273C">
        <w:t xml:space="preserve"> de George R.R. Martin. Un genre qui peut se décliner aussi en renaissance-fantasy ex : </w:t>
      </w:r>
      <w:r w:rsidR="000D273C" w:rsidRPr="000D273C">
        <w:rPr>
          <w:i/>
          <w:iCs/>
        </w:rPr>
        <w:t>Gagner la guerre</w:t>
      </w:r>
      <w:r w:rsidR="000D273C">
        <w:t xml:space="preserve"> de Jean-Philippe Ja</w:t>
      </w:r>
      <w:r w:rsidR="00975972">
        <w:t>r</w:t>
      </w:r>
      <w:r w:rsidR="000D273C">
        <w:t>owski.</w:t>
      </w:r>
    </w:p>
    <w:p w14:paraId="4745163D" w14:textId="212D0086" w:rsidR="005F37B4" w:rsidRDefault="005F37B4" w:rsidP="00B557E5">
      <w:r w:rsidRPr="005F37B4">
        <w:rPr>
          <w:b/>
          <w:bCs/>
        </w:rPr>
        <w:t>D</w:t>
      </w:r>
      <w:r w:rsidR="00F0135B" w:rsidRPr="005F37B4">
        <w:rPr>
          <w:b/>
          <w:bCs/>
        </w:rPr>
        <w:t>ark fantasy</w:t>
      </w:r>
      <w:r>
        <w:t> :</w:t>
      </w:r>
      <w:r w:rsidRPr="005F37B4">
        <w:t xml:space="preserve"> </w:t>
      </w:r>
      <w:r w:rsidR="002410C4">
        <w:t>l’ambiance est pessimiste,</w:t>
      </w:r>
      <w:r w:rsidR="000D273C" w:rsidRPr="005F37B4">
        <w:t xml:space="preserve"> «</w:t>
      </w:r>
      <w:r w:rsidR="000D273C">
        <w:t xml:space="preserve"> l’imaginaire</w:t>
      </w:r>
      <w:r w:rsidRPr="005F37B4">
        <w:t xml:space="preserve"> ténébreux" où les rôles </w:t>
      </w:r>
      <w:r w:rsidR="002410C4">
        <w:t>sont inversés</w:t>
      </w:r>
      <w:r w:rsidR="002410C4" w:rsidRPr="002410C4">
        <w:t>. Le mal</w:t>
      </w:r>
      <w:r w:rsidR="002410C4">
        <w:t xml:space="preserve"> y</w:t>
      </w:r>
      <w:r w:rsidR="002410C4" w:rsidRPr="002410C4">
        <w:t xml:space="preserve"> est beaucoup plus fort et </w:t>
      </w:r>
      <w:r w:rsidR="000D273C">
        <w:t xml:space="preserve">prend </w:t>
      </w:r>
      <w:r w:rsidR="000D273C" w:rsidRPr="002410C4">
        <w:t>souvent</w:t>
      </w:r>
      <w:r w:rsidR="002410C4" w:rsidRPr="002410C4">
        <w:t xml:space="preserve"> le dessus sur le bien</w:t>
      </w:r>
      <w:r w:rsidR="002410C4">
        <w:t xml:space="preserve">. </w:t>
      </w:r>
      <w:r w:rsidR="002410C4" w:rsidRPr="000D273C">
        <w:rPr>
          <w:i/>
          <w:iCs/>
        </w:rPr>
        <w:t>La tour sombre</w:t>
      </w:r>
      <w:r w:rsidR="002410C4">
        <w:t xml:space="preserve"> de </w:t>
      </w:r>
      <w:r w:rsidR="000D273C">
        <w:t xml:space="preserve">Stephen King, </w:t>
      </w:r>
      <w:r w:rsidR="000D273C" w:rsidRPr="000D273C">
        <w:rPr>
          <w:i/>
          <w:iCs/>
        </w:rPr>
        <w:t>L’ange de la nuit</w:t>
      </w:r>
      <w:r w:rsidR="000D273C">
        <w:t xml:space="preserve"> de Brent Weeks.</w:t>
      </w:r>
    </w:p>
    <w:p w14:paraId="3BC0D916" w14:textId="652CDFCF" w:rsidR="00B557E5" w:rsidRDefault="005F37B4" w:rsidP="00B557E5">
      <w:r w:rsidRPr="005F37B4">
        <w:rPr>
          <w:b/>
          <w:bCs/>
        </w:rPr>
        <w:t>Urban</w:t>
      </w:r>
      <w:r w:rsidR="00F0135B" w:rsidRPr="005F37B4">
        <w:rPr>
          <w:b/>
          <w:bCs/>
        </w:rPr>
        <w:t xml:space="preserve"> fantas</w:t>
      </w:r>
      <w:r w:rsidRPr="005F37B4">
        <w:rPr>
          <w:b/>
          <w:bCs/>
        </w:rPr>
        <w:t>y</w:t>
      </w:r>
      <w:r>
        <w:t> :</w:t>
      </w:r>
      <w:r w:rsidR="000D273C" w:rsidRPr="000D273C">
        <w:t xml:space="preserve"> </w:t>
      </w:r>
      <w:r w:rsidR="000D273C">
        <w:t>c</w:t>
      </w:r>
      <w:r w:rsidR="000D273C" w:rsidRPr="000D273C">
        <w:t xml:space="preserve">es œuvres se déroulent dans des villes </w:t>
      </w:r>
      <w:r w:rsidR="000D273C">
        <w:t xml:space="preserve">peuplées de créatures </w:t>
      </w:r>
      <w:r w:rsidR="006A7026">
        <w:t xml:space="preserve">fantastiques telles que les elfes, les orcs, les fées qui évoluent au côté d’humains, il y a un côté underground non négligeable. Ex :  </w:t>
      </w:r>
      <w:r w:rsidR="006A7026" w:rsidRPr="006A7026">
        <w:rPr>
          <w:i/>
          <w:iCs/>
        </w:rPr>
        <w:t xml:space="preserve">La neuvième maison </w:t>
      </w:r>
      <w:r w:rsidR="006A7026">
        <w:t xml:space="preserve">de Leigh Bardugo, </w:t>
      </w:r>
      <w:r w:rsidR="006A7026" w:rsidRPr="006A7026">
        <w:rPr>
          <w:i/>
          <w:iCs/>
        </w:rPr>
        <w:t>Legendborn</w:t>
      </w:r>
      <w:r w:rsidR="006A7026">
        <w:t xml:space="preserve"> de Tracy Deon.</w:t>
      </w:r>
    </w:p>
    <w:p w14:paraId="76AB801C" w14:textId="605F6F99" w:rsidR="00DA5995" w:rsidRPr="00C961DB" w:rsidRDefault="00DA5995" w:rsidP="00B557E5">
      <w:r w:rsidRPr="00DA5995">
        <w:rPr>
          <w:b/>
          <w:bCs/>
        </w:rPr>
        <w:t>Cosy fantasy</w:t>
      </w:r>
      <w:r>
        <w:t xml:space="preserve"> : </w:t>
      </w:r>
      <w:r w:rsidR="00C961DB">
        <w:t xml:space="preserve">ce sont des romans feel-good qui se déroulent dans des univers imaginaires ou peuplés de créatures surnaturels. La magie y est douce, la cadre réconfortant et souvent rural, l’action est plutôt axée sur la vie quotidienne. </w:t>
      </w:r>
      <w:r w:rsidR="00C961DB" w:rsidRPr="00C961DB">
        <w:rPr>
          <w:i/>
          <w:iCs/>
        </w:rPr>
        <w:t>La maison au milieu de la mer céruléenne</w:t>
      </w:r>
      <w:r w:rsidR="00C961DB">
        <w:rPr>
          <w:i/>
          <w:iCs/>
        </w:rPr>
        <w:t xml:space="preserve"> </w:t>
      </w:r>
      <w:r w:rsidR="00C961DB">
        <w:t xml:space="preserve">de TJ Klune, </w:t>
      </w:r>
      <w:r w:rsidR="00C961DB" w:rsidRPr="00C961DB">
        <w:rPr>
          <w:i/>
          <w:iCs/>
        </w:rPr>
        <w:t xml:space="preserve">Légendes </w:t>
      </w:r>
      <w:r w:rsidR="00C961DB">
        <w:rPr>
          <w:i/>
          <w:iCs/>
        </w:rPr>
        <w:t>et</w:t>
      </w:r>
      <w:r w:rsidR="00C961DB" w:rsidRPr="00C961DB">
        <w:rPr>
          <w:i/>
          <w:iCs/>
        </w:rPr>
        <w:t xml:space="preserve"> </w:t>
      </w:r>
      <w:r w:rsidR="00C961DB">
        <w:rPr>
          <w:i/>
          <w:iCs/>
        </w:rPr>
        <w:t>l</w:t>
      </w:r>
      <w:r w:rsidR="00C961DB" w:rsidRPr="00C961DB">
        <w:rPr>
          <w:i/>
          <w:iCs/>
        </w:rPr>
        <w:t>attes</w:t>
      </w:r>
      <w:r w:rsidR="00C961DB">
        <w:t xml:space="preserve"> de Travis Baldree, </w:t>
      </w:r>
      <w:r w:rsidR="00C961DB" w:rsidRPr="00C961DB">
        <w:rPr>
          <w:i/>
          <w:iCs/>
        </w:rPr>
        <w:t>le petit guide de Miss Percy ou comment élever un dragon britannique</w:t>
      </w:r>
      <w:r w:rsidR="00C961DB">
        <w:t xml:space="preserve"> de Quenby Olson.</w:t>
      </w:r>
    </w:p>
    <w:p w14:paraId="65202FC8" w14:textId="453A68D2" w:rsidR="00542EB2" w:rsidRDefault="00542EB2" w:rsidP="00542EB2">
      <w:pPr>
        <w:pStyle w:val="Titre1"/>
      </w:pPr>
      <w:bookmarkStart w:id="1" w:name="_Toc190443694"/>
      <w:r>
        <w:t>Pratique</w:t>
      </w:r>
      <w:r w:rsidR="004428AA">
        <w:t>s</w:t>
      </w:r>
      <w:r>
        <w:t xml:space="preserve"> des acquéreuses</w:t>
      </w:r>
      <w:bookmarkEnd w:id="1"/>
    </w:p>
    <w:p w14:paraId="2314575A" w14:textId="3D7C2300" w:rsidR="00542EB2" w:rsidRDefault="00542EB2" w:rsidP="00542EB2">
      <w:r>
        <w:t>Il s’agira ici de détailler la gestion quotidienne de ce domaine par les acquéreuses dans l’optique de faciliter la transition d’une acquéreuse d’un domaine à l’autre : comment on effectue la veille, les commandes, le catalogage, le désherbage…</w:t>
      </w:r>
    </w:p>
    <w:p w14:paraId="3B69475D" w14:textId="0875467A" w:rsidR="00542EB2" w:rsidRPr="00542EB2" w:rsidRDefault="00542EB2" w:rsidP="00542EB2">
      <w:r>
        <w:t xml:space="preserve">Il s’agit surtout de détailler la manière dont vous travaillez </w:t>
      </w:r>
      <w:r w:rsidRPr="005A1965">
        <w:rPr>
          <w:u w:val="single"/>
        </w:rPr>
        <w:t>réellement</w:t>
      </w:r>
      <w:r>
        <w:t xml:space="preserve">, pas de lister </w:t>
      </w:r>
      <w:r w:rsidR="005A1965">
        <w:t>tout ce qui existe ou ce qui pourrait être fait dans un mode idéal</w:t>
      </w:r>
      <w:r w:rsidR="00B163F5">
        <w:t>.</w:t>
      </w:r>
    </w:p>
    <w:p w14:paraId="0C9EBBFF" w14:textId="0EBC8319" w:rsidR="00542EB2" w:rsidRDefault="00542EB2" w:rsidP="00542EB2">
      <w:pPr>
        <w:pStyle w:val="Titre2"/>
      </w:pPr>
      <w:bookmarkStart w:id="2" w:name="_Toc190443695"/>
      <w:r>
        <w:lastRenderedPageBreak/>
        <w:t>Veille</w:t>
      </w:r>
      <w:bookmarkEnd w:id="2"/>
    </w:p>
    <w:p w14:paraId="36B7F0A1" w14:textId="34303747" w:rsidR="00F5318C" w:rsidRDefault="00F5318C" w:rsidP="00542EB2">
      <w:r>
        <w:t xml:space="preserve">Sites </w:t>
      </w:r>
      <w:r w:rsidR="00A56B97">
        <w:t xml:space="preserve">et catalogues </w:t>
      </w:r>
      <w:r>
        <w:t>des maisons d’éditions</w:t>
      </w:r>
      <w:r w:rsidR="001F3206">
        <w:t xml:space="preserve"> spécialisées</w:t>
      </w:r>
      <w:r>
        <w:t xml:space="preserve"> : </w:t>
      </w:r>
      <w:r w:rsidR="001F3206">
        <w:t>A</w:t>
      </w:r>
      <w:r>
        <w:t xml:space="preserve">talante, </w:t>
      </w:r>
      <w:r w:rsidR="00A2404A">
        <w:t xml:space="preserve">Argyll Editions, </w:t>
      </w:r>
      <w:r>
        <w:t xml:space="preserve">Au diable Vauvert, Aux forges de Vulcain, </w:t>
      </w:r>
      <w:r w:rsidR="002B3DF5">
        <w:t>Bragelonne</w:t>
      </w:r>
      <w:r w:rsidR="001F3206">
        <w:t xml:space="preserve">, De Saxus, Hugo Roman, La Volte, Le </w:t>
      </w:r>
      <w:r w:rsidR="00A2404A">
        <w:t>B</w:t>
      </w:r>
      <w:r w:rsidR="001F3206">
        <w:t>élial, les Moutons électriques, Mnémos, Sabran</w:t>
      </w:r>
      <w:r w:rsidR="00CE5CD3">
        <w:t>.</w:t>
      </w:r>
    </w:p>
    <w:p w14:paraId="28AEA295" w14:textId="3BD687DA" w:rsidR="001F3206" w:rsidRDefault="001F3206" w:rsidP="00542EB2">
      <w:r>
        <w:t xml:space="preserve">Sites de maisons d’éditions </w:t>
      </w:r>
      <w:r w:rsidR="00A2404A">
        <w:t>généralistes</w:t>
      </w:r>
      <w:r>
        <w:t xml:space="preserve"> avec une section SF : Actes Sud, Albin Michel, Gallimard, </w:t>
      </w:r>
      <w:r w:rsidR="00A2404A">
        <w:t>La Martinière</w:t>
      </w:r>
    </w:p>
    <w:p w14:paraId="487246FB" w14:textId="70A100EA" w:rsidR="00F5318C" w:rsidRDefault="00F5318C" w:rsidP="00542EB2">
      <w:r>
        <w:t>Présentation en librairies spécialisées et généralistes</w:t>
      </w:r>
      <w:r w:rsidR="00A2404A">
        <w:t> : FNAC, Durance, Coiffard</w:t>
      </w:r>
      <w:r w:rsidR="00A56B97">
        <w:t>, Atalante</w:t>
      </w:r>
    </w:p>
    <w:p w14:paraId="774AFD13" w14:textId="71049C92" w:rsidR="00DA5995" w:rsidRDefault="00DA5995" w:rsidP="00542EB2">
      <w:r w:rsidRPr="00DA5995">
        <w:t>Sur le site Decitre, je repère les livres qui ont reçu des coups de cœur de libraires</w:t>
      </w:r>
      <w:r w:rsidR="00643B29">
        <w:t xml:space="preserve"> ainsi que les meilleures ventes</w:t>
      </w:r>
    </w:p>
    <w:p w14:paraId="419C934F" w14:textId="51E3DF09" w:rsidR="00F5318C" w:rsidRDefault="00F5318C" w:rsidP="00542EB2">
      <w:r>
        <w:t>Espace culturel : top ventes et présentation</w:t>
      </w:r>
    </w:p>
    <w:p w14:paraId="63970491" w14:textId="6B8DB90D" w:rsidR="00A2404A" w:rsidRDefault="00A2404A" w:rsidP="00542EB2">
      <w:r>
        <w:t>Presse littéraire : Bifrost (pour les critiques)</w:t>
      </w:r>
    </w:p>
    <w:p w14:paraId="28D28F83" w14:textId="4BFA8DB8" w:rsidR="00A2404A" w:rsidRDefault="00A2404A" w:rsidP="00542EB2">
      <w:r>
        <w:t>Prix littéraires : Utopiales, Imaginales</w:t>
      </w:r>
      <w:r w:rsidR="00D5681E">
        <w:t>, Locus, Hugo</w:t>
      </w:r>
    </w:p>
    <w:p w14:paraId="52C7D4A4" w14:textId="54CA2D7B" w:rsidR="00F5318C" w:rsidRDefault="00F5318C" w:rsidP="00542EB2">
      <w:r>
        <w:t>Nouveautés de la BM de Nantes</w:t>
      </w:r>
      <w:r w:rsidR="000A4FE7">
        <w:t xml:space="preserve"> qui est en lien avec les Utopiales.</w:t>
      </w:r>
    </w:p>
    <w:p w14:paraId="0E1B6091" w14:textId="7E14F0E1" w:rsidR="00643B29" w:rsidRDefault="00643B29" w:rsidP="00542EB2">
      <w:r>
        <w:t>En pratique, on se base avant tout sur la veille auprès des éditeurs / collections représentatifs de la SF ainsi que sur les visites en librairie (souvent espace culturel Leclerc). Les critiques ainsi que les sites de Decitre et de la BM de Nantes permettent de s’assurer qu’on n’a pas laissé passer un « incontournable ».</w:t>
      </w:r>
    </w:p>
    <w:p w14:paraId="166740E0" w14:textId="61B4E8E2" w:rsidR="005A1965" w:rsidRDefault="005A1965" w:rsidP="005A1965">
      <w:pPr>
        <w:pStyle w:val="Titre2"/>
      </w:pPr>
      <w:bookmarkStart w:id="3" w:name="_Toc190443696"/>
      <w:r>
        <w:t>Critères de sélection et de non-sélection</w:t>
      </w:r>
      <w:bookmarkEnd w:id="3"/>
    </w:p>
    <w:p w14:paraId="43D4873A" w14:textId="3A807F45" w:rsidR="0072615C" w:rsidRDefault="00D04C83" w:rsidP="0072615C">
      <w:r>
        <w:t>J</w:t>
      </w:r>
      <w:r w:rsidR="0072615C">
        <w:t>e travaille sur 2 paniers Electre : un panier en cours des achats qui regroupent des critères +++ (top vente, bonne critique, genre à la mode) et un panier liste d’attente qui sert de préparation à la commande suivante ou sur des titres repérés mais que je ne considère pas prioritaires (trop proches</w:t>
      </w:r>
      <w:r w:rsidR="00A56B97">
        <w:t xml:space="preserve"> </w:t>
      </w:r>
      <w:r w:rsidR="0072615C">
        <w:t>dans le thème</w:t>
      </w:r>
      <w:r w:rsidR="00A56B97">
        <w:t xml:space="preserve"> </w:t>
      </w:r>
      <w:r w:rsidR="0072615C">
        <w:t>d’autres titres, critiques moins bonnes). Lorsque des titres sont dans le panier depuis trop longtemps, je les supprime.</w:t>
      </w:r>
    </w:p>
    <w:p w14:paraId="6BC073A5" w14:textId="6A613D83" w:rsidR="00643B29" w:rsidRDefault="00643B29" w:rsidP="0072615C">
      <w:r>
        <w:t>Pour le premier panier, je fais attention aussi à la qualité des couvertures ainsi qu’à bien représenter les différents sous-genres (SF, fantaisie, fantastique). J’y mettrai aussi les ouvrages que j’ai croisés dans différentes sources (librairie, blogs…)</w:t>
      </w:r>
    </w:p>
    <w:p w14:paraId="331D21C3" w14:textId="006CB351" w:rsidR="000A4FE7" w:rsidRDefault="000A4FE7" w:rsidP="005A1965">
      <w:r>
        <w:t>A l’instant T (2024), mes critères de sélection sont basés sur la variété :</w:t>
      </w:r>
    </w:p>
    <w:p w14:paraId="076F4AE2" w14:textId="52EAD5D2" w:rsidR="000A4FE7" w:rsidRDefault="000A4FE7" w:rsidP="005A1965">
      <w:r>
        <w:t xml:space="preserve">Sur mes 2 commandes de cette année (à partir de l’été 2024), j’ai essayé de bien répartir entre SF et de Fantasy, j’ai acheté quelques séries de Romantasy car très à la mode et aussi de la </w:t>
      </w:r>
      <w:r w:rsidR="00DA5995">
        <w:t>C</w:t>
      </w:r>
      <w:r>
        <w:t>osy fantasy qui est un genre en essor. Je me suis basée sur les critiques de la rentrée littéraire et les sélections Utopiales.</w:t>
      </w:r>
    </w:p>
    <w:p w14:paraId="25E3BE55" w14:textId="08F67CCA" w:rsidR="0072615C" w:rsidRDefault="000A4FE7" w:rsidP="005A1965">
      <w:r>
        <w:t xml:space="preserve">J’ai aussi </w:t>
      </w:r>
      <w:r w:rsidR="00A56B97">
        <w:t>commencé</w:t>
      </w:r>
      <w:r>
        <w:t xml:space="preserve"> une réactualisation de</w:t>
      </w:r>
      <w:r w:rsidR="00C011BE">
        <w:t xml:space="preserve"> certaines</w:t>
      </w:r>
      <w:r>
        <w:t xml:space="preserve"> suites de séries grâce à Sandrine qui a fait un listing des séries incomplètes avec des tomes parus.</w:t>
      </w:r>
    </w:p>
    <w:p w14:paraId="6FDA4CD9" w14:textId="1787071B" w:rsidR="000A4FE7" w:rsidRDefault="000A4FE7" w:rsidP="005A1965">
      <w:r>
        <w:t xml:space="preserve">Pour l’instant, je ne peux pas vraiment donner de critères rédhibitoires par manque de recul sur </w:t>
      </w:r>
      <w:r w:rsidR="0072615C">
        <w:t xml:space="preserve">mon système de veille, à part « la couverture est moche et je ne veux pas </w:t>
      </w:r>
      <w:r w:rsidR="00C961DB">
        <w:t xml:space="preserve">encore </w:t>
      </w:r>
      <w:r w:rsidR="0072615C">
        <w:t xml:space="preserve">acheter </w:t>
      </w:r>
      <w:r w:rsidR="00C961DB">
        <w:t>les</w:t>
      </w:r>
      <w:r w:rsidR="0072615C">
        <w:t xml:space="preserve"> gros pavés de Bran</w:t>
      </w:r>
      <w:r w:rsidR="00C011BE">
        <w:t>don</w:t>
      </w:r>
      <w:r w:rsidR="0072615C">
        <w:t xml:space="preserve"> Sanderson ».</w:t>
      </w:r>
    </w:p>
    <w:p w14:paraId="57ADAB18" w14:textId="54368E92" w:rsidR="00643B29" w:rsidRDefault="00643B29" w:rsidP="005A1965">
      <w:r>
        <w:lastRenderedPageBreak/>
        <w:t>A</w:t>
      </w:r>
      <w:r w:rsidRPr="00643B29">
        <w:t xml:space="preserve">ttention aux rééditions (poche ou semi poche, surtout chez Bragelonne à 10€). Attention aux adaptations de séries ou autres (pas forcément rédhibitoire, mais se poser la question), attention aux cycles interminables </w:t>
      </w:r>
      <w:r>
        <w:t>comme</w:t>
      </w:r>
      <w:r w:rsidRPr="00643B29">
        <w:t xml:space="preserve"> Horus Heresy</w:t>
      </w:r>
    </w:p>
    <w:p w14:paraId="0607F47D" w14:textId="26D99628" w:rsidR="00643B29" w:rsidRDefault="00643B29" w:rsidP="005A1965">
      <w:r>
        <w:t xml:space="preserve">On évitera d’acheter de trop gros « pavés » (plus de 500-600 pages) qui sont peu empruntés. </w:t>
      </w:r>
    </w:p>
    <w:p w14:paraId="6602D14C" w14:textId="2D7CC08B" w:rsidR="00DA5995" w:rsidRDefault="00DA5995" w:rsidP="005A1965">
      <w:pPr>
        <w:rPr>
          <w:b/>
          <w:bCs/>
          <w:color w:val="FF0000"/>
        </w:rPr>
      </w:pPr>
      <w:r>
        <w:t>Un aspect qui me semble important, c’est de prêter attention à la répartition entre auteurs et autrices car la SF est souvent considérée, à tort, comme un genre masculin.</w:t>
      </w:r>
      <w:r w:rsidR="00643B29">
        <w:t xml:space="preserve"> </w:t>
      </w:r>
      <w:r w:rsidR="00643B29" w:rsidRPr="00643B29">
        <w:rPr>
          <w:b/>
          <w:bCs/>
          <w:color w:val="FF0000"/>
        </w:rPr>
        <w:t>[à discuter]</w:t>
      </w:r>
    </w:p>
    <w:p w14:paraId="4B5A99A6" w14:textId="77777777" w:rsidR="00671EC5" w:rsidRDefault="00671EC5" w:rsidP="00671EC5">
      <w:r>
        <w:t>La BDLA achète des ouvrages de romance, y compris si ceux-ci contiennent des scènes de sexe explicites. Ces ouvrages doivent cependant posséder d’autres qualités (qualité de l’intrigue, de l’écriture, profondeur des personnages…). Même si ces ouvrages sont souvent repérés lors de la veille en littérature ados, ils sont systématiquement classés en adultes (pas de scène de sexe explicites en ados, même en ados adultes).</w:t>
      </w:r>
    </w:p>
    <w:p w14:paraId="6DC54C25" w14:textId="77777777" w:rsidR="00671EC5" w:rsidRDefault="00671EC5" w:rsidP="00671EC5">
      <w:r>
        <w:t xml:space="preserve">Nous achetons également des livres de la dark romance, qui peuvent contenir des scènes de viol ou de violence psychologique ou physique avec les mêmes réserves que pour la romance en général. Cela reste cependant une niche et on en achète assez peu au regard de l’ensemble de la romance, en se concentrant sur les ouvrages les plus médiatisés et les plus vendus. </w:t>
      </w:r>
    </w:p>
    <w:p w14:paraId="45071549" w14:textId="77777777" w:rsidR="00671EC5" w:rsidRDefault="00671EC5" w:rsidP="00671EC5">
      <w:r>
        <w:t>Les ouvrages de dark romance sont catalogués avec un champ public (903$a) = « public averti »</w:t>
      </w:r>
    </w:p>
    <w:p w14:paraId="64135667" w14:textId="2D74CD24" w:rsidR="00CC4C25" w:rsidRDefault="00CC4C25" w:rsidP="00CC4C25">
      <w:pPr>
        <w:pStyle w:val="Titre2"/>
      </w:pPr>
      <w:bookmarkStart w:id="4" w:name="_Toc190443697"/>
      <w:r>
        <w:t>Nombre d’exemplaires</w:t>
      </w:r>
      <w:bookmarkEnd w:id="4"/>
    </w:p>
    <w:p w14:paraId="7378E5E9" w14:textId="77777777" w:rsidR="00035ACD" w:rsidRDefault="00035ACD" w:rsidP="00CC4C25">
      <w:r>
        <w:t>1 exemplaire</w:t>
      </w:r>
      <w:r w:rsidR="00CC4C25">
        <w:t xml:space="preserve"> par défaut </w:t>
      </w:r>
    </w:p>
    <w:p w14:paraId="033B1942" w14:textId="2BA7A0D4" w:rsidR="00CC4C25" w:rsidRDefault="00D04C83" w:rsidP="00CC4C25">
      <w:r>
        <w:t>J</w:t>
      </w:r>
      <w:r w:rsidR="0072615C">
        <w:t xml:space="preserve">e pense acheter </w:t>
      </w:r>
      <w:r w:rsidR="0072615C" w:rsidRPr="0072615C">
        <w:t xml:space="preserve">2 </w:t>
      </w:r>
      <w:r w:rsidR="0072615C">
        <w:t xml:space="preserve">exemplaires </w:t>
      </w:r>
      <w:r w:rsidR="0072615C" w:rsidRPr="0072615C">
        <w:t>dans des cas très rares : auteurs-phares, genre à la mode, grosse vente, forte demande</w:t>
      </w:r>
      <w:r w:rsidR="00A56B97">
        <w:t xml:space="preserve"> du réseau</w:t>
      </w:r>
      <w:r w:rsidR="0072615C" w:rsidRPr="0072615C">
        <w:t xml:space="preserve"> à anticiper.</w:t>
      </w:r>
    </w:p>
    <w:p w14:paraId="2C6624B1" w14:textId="14210614" w:rsidR="00CC4C25" w:rsidRDefault="00CC4C25" w:rsidP="00CC4C25">
      <w:pPr>
        <w:pStyle w:val="Titre2"/>
      </w:pPr>
      <w:bookmarkStart w:id="5" w:name="_Toc190443698"/>
      <w:r>
        <w:t>Commandes</w:t>
      </w:r>
      <w:bookmarkEnd w:id="5"/>
    </w:p>
    <w:p w14:paraId="3502FB18" w14:textId="3C0E5177" w:rsidR="00D83765" w:rsidRDefault="00C46971" w:rsidP="00CC4C25">
      <w:r>
        <w:t xml:space="preserve">4 commandes </w:t>
      </w:r>
      <w:r w:rsidR="006B02CD">
        <w:t>autour de</w:t>
      </w:r>
      <w:r>
        <w:t xml:space="preserve"> 1000€ pour une moyenne de</w:t>
      </w:r>
      <w:r w:rsidR="00D83765">
        <w:t xml:space="preserve"> 55 documents</w:t>
      </w:r>
      <w:r w:rsidR="00A56B97">
        <w:t xml:space="preserve"> (en 2024, avant baisse probable de 2025)</w:t>
      </w:r>
    </w:p>
    <w:p w14:paraId="02C4A3AF" w14:textId="77777777" w:rsidR="00DA5995" w:rsidRDefault="00DA5995" w:rsidP="00DA5995">
      <w:r>
        <w:t>Valeurs pour l’exemplarisation dans la commande :</w:t>
      </w:r>
    </w:p>
    <w:tbl>
      <w:tblPr>
        <w:tblStyle w:val="Grilledutableau"/>
        <w:tblW w:w="0" w:type="auto"/>
        <w:tblLook w:val="04A0" w:firstRow="1" w:lastRow="0" w:firstColumn="1" w:lastColumn="0" w:noHBand="0" w:noVBand="1"/>
      </w:tblPr>
      <w:tblGrid>
        <w:gridCol w:w="4531"/>
        <w:gridCol w:w="4531"/>
      </w:tblGrid>
      <w:tr w:rsidR="00DA5995" w14:paraId="10618FC5" w14:textId="77777777" w:rsidTr="00281320">
        <w:tc>
          <w:tcPr>
            <w:tcW w:w="4531" w:type="dxa"/>
          </w:tcPr>
          <w:p w14:paraId="4CC81B5C"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Support</w:t>
            </w:r>
          </w:p>
        </w:tc>
        <w:tc>
          <w:tcPr>
            <w:tcW w:w="4531" w:type="dxa"/>
          </w:tcPr>
          <w:p w14:paraId="33CE6766"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Livre</w:t>
            </w:r>
          </w:p>
        </w:tc>
      </w:tr>
      <w:tr w:rsidR="00DA5995" w14:paraId="6122BE24" w14:textId="77777777" w:rsidTr="00281320">
        <w:tc>
          <w:tcPr>
            <w:tcW w:w="4531" w:type="dxa"/>
          </w:tcPr>
          <w:p w14:paraId="09D538A2"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Section</w:t>
            </w:r>
          </w:p>
        </w:tc>
        <w:tc>
          <w:tcPr>
            <w:tcW w:w="4531" w:type="dxa"/>
          </w:tcPr>
          <w:p w14:paraId="53EA5DF1" w14:textId="77777777" w:rsidR="00DA5995" w:rsidRPr="00821843" w:rsidRDefault="00DA5995" w:rsidP="00281320">
            <w:pPr>
              <w:rPr>
                <w:rFonts w:ascii="Calibri" w:eastAsia="Times New Roman" w:hAnsi="Calibri" w:cs="Calibri"/>
                <w:sz w:val="24"/>
                <w:szCs w:val="24"/>
                <w:lang w:eastAsia="fr-FR"/>
              </w:rPr>
            </w:pPr>
            <w:r>
              <w:rPr>
                <w:rFonts w:ascii="Calibri" w:eastAsia="Times New Roman" w:hAnsi="Calibri" w:cs="Calibri"/>
                <w:sz w:val="24"/>
                <w:szCs w:val="24"/>
                <w:lang w:eastAsia="fr-FR"/>
              </w:rPr>
              <w:t>Adulte</w:t>
            </w:r>
          </w:p>
        </w:tc>
      </w:tr>
      <w:tr w:rsidR="00DA5995" w14:paraId="41A3B778" w14:textId="77777777" w:rsidTr="00281320">
        <w:tc>
          <w:tcPr>
            <w:tcW w:w="4531" w:type="dxa"/>
          </w:tcPr>
          <w:p w14:paraId="0CE551E2"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Utilisation</w:t>
            </w:r>
          </w:p>
        </w:tc>
        <w:tc>
          <w:tcPr>
            <w:tcW w:w="4531" w:type="dxa"/>
          </w:tcPr>
          <w:p w14:paraId="548306AB"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Non réservable</w:t>
            </w:r>
          </w:p>
        </w:tc>
      </w:tr>
      <w:tr w:rsidR="00DA5995" w14:paraId="1C0E8D61" w14:textId="77777777" w:rsidTr="00281320">
        <w:tc>
          <w:tcPr>
            <w:tcW w:w="4531" w:type="dxa"/>
          </w:tcPr>
          <w:p w14:paraId="40C25F45"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Code stat 1</w:t>
            </w:r>
          </w:p>
        </w:tc>
        <w:tc>
          <w:tcPr>
            <w:tcW w:w="4531" w:type="dxa"/>
          </w:tcPr>
          <w:p w14:paraId="7BCDAA63"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Fiction</w:t>
            </w:r>
          </w:p>
        </w:tc>
      </w:tr>
      <w:tr w:rsidR="00DA5995" w14:paraId="4C221948" w14:textId="77777777" w:rsidTr="00281320">
        <w:tc>
          <w:tcPr>
            <w:tcW w:w="4531" w:type="dxa"/>
          </w:tcPr>
          <w:p w14:paraId="75528DFD"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 xml:space="preserve">Code stat </w:t>
            </w:r>
            <w:r>
              <w:rPr>
                <w:rFonts w:ascii="Calibri" w:eastAsia="Times New Roman" w:hAnsi="Calibri" w:cs="Calibri"/>
                <w:sz w:val="24"/>
                <w:szCs w:val="24"/>
                <w:lang w:eastAsia="fr-FR"/>
              </w:rPr>
              <w:t>2</w:t>
            </w:r>
          </w:p>
        </w:tc>
        <w:tc>
          <w:tcPr>
            <w:tcW w:w="4531" w:type="dxa"/>
          </w:tcPr>
          <w:p w14:paraId="7B1E153F" w14:textId="77777777" w:rsidR="00DA5995" w:rsidRPr="00821843" w:rsidRDefault="00DA5995" w:rsidP="00281320">
            <w:pPr>
              <w:rPr>
                <w:rFonts w:ascii="Calibri" w:eastAsia="Times New Roman" w:hAnsi="Calibri" w:cs="Calibri"/>
                <w:sz w:val="24"/>
                <w:szCs w:val="24"/>
                <w:lang w:eastAsia="fr-FR"/>
              </w:rPr>
            </w:pPr>
            <w:r>
              <w:rPr>
                <w:rFonts w:ascii="Calibri" w:eastAsia="Times New Roman" w:hAnsi="Calibri" w:cs="Calibri"/>
                <w:sz w:val="24"/>
                <w:szCs w:val="24"/>
                <w:lang w:eastAsia="fr-FR"/>
              </w:rPr>
              <w:t>SF</w:t>
            </w:r>
          </w:p>
        </w:tc>
      </w:tr>
      <w:tr w:rsidR="00DA5995" w14:paraId="18D30B69" w14:textId="77777777" w:rsidTr="00281320">
        <w:tc>
          <w:tcPr>
            <w:tcW w:w="4531" w:type="dxa"/>
          </w:tcPr>
          <w:p w14:paraId="5330C1B0" w14:textId="77777777" w:rsidR="00DA5995" w:rsidRPr="00821843" w:rsidRDefault="00DA5995" w:rsidP="00281320">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Loc.ori.</w:t>
            </w:r>
          </w:p>
        </w:tc>
        <w:tc>
          <w:tcPr>
            <w:tcW w:w="4531" w:type="dxa"/>
          </w:tcPr>
          <w:p w14:paraId="1083514F" w14:textId="77777777" w:rsidR="00DA5995" w:rsidRPr="00821843" w:rsidRDefault="00DA5995" w:rsidP="00281320">
            <w:pPr>
              <w:rPr>
                <w:rFonts w:ascii="Calibri" w:eastAsia="Times New Roman" w:hAnsi="Calibri" w:cs="Calibri"/>
                <w:sz w:val="24"/>
                <w:szCs w:val="24"/>
                <w:lang w:eastAsia="fr-FR"/>
              </w:rPr>
            </w:pPr>
            <w:r>
              <w:rPr>
                <w:rFonts w:ascii="Calibri" w:eastAsia="Times New Roman" w:hAnsi="Calibri" w:cs="Calibri"/>
                <w:sz w:val="24"/>
                <w:szCs w:val="24"/>
                <w:lang w:eastAsia="fr-FR"/>
              </w:rPr>
              <w:t>SF adultes</w:t>
            </w:r>
          </w:p>
        </w:tc>
      </w:tr>
    </w:tbl>
    <w:p w14:paraId="73696819" w14:textId="77777777" w:rsidR="00DA5995" w:rsidRDefault="00DA5995" w:rsidP="00DA5995"/>
    <w:p w14:paraId="2DCB86B0" w14:textId="77777777" w:rsidR="00DA5995" w:rsidRDefault="00DA5995" w:rsidP="00DA5995">
      <w:r>
        <w:t>Je préfère mettre mes commandes en « Non réservable » avant de cataloguer car si tout est en « prêt normal », je dois remettre les réservations éventuelles d’un tome sur le lot.</w:t>
      </w:r>
    </w:p>
    <w:p w14:paraId="73FACE4C" w14:textId="77777777" w:rsidR="00DA5995" w:rsidRDefault="00DA5995" w:rsidP="00DA5995">
      <w:r>
        <w:t>À l’import du panier Electre, il faut faire attention à ce qu’un tome ne soit pas confondu avec la notice du lot, à ce moment-là je fais « doubler la notice ».</w:t>
      </w:r>
    </w:p>
    <w:p w14:paraId="6DCA3E4B" w14:textId="77777777" w:rsidR="00DA5995" w:rsidRDefault="00DA5995" w:rsidP="00CC4C25"/>
    <w:p w14:paraId="5F900990" w14:textId="73CD6E58" w:rsidR="00CC4C25" w:rsidRDefault="00CC4C25" w:rsidP="00CC4C25">
      <w:pPr>
        <w:pStyle w:val="Titre2"/>
      </w:pPr>
      <w:bookmarkStart w:id="6" w:name="_Toc190443699"/>
      <w:r>
        <w:lastRenderedPageBreak/>
        <w:t>Rachats ouvrages de fonds</w:t>
      </w:r>
      <w:bookmarkEnd w:id="6"/>
    </w:p>
    <w:p w14:paraId="7D91AAAA" w14:textId="151D6FAE" w:rsidR="00CC4C25" w:rsidRDefault="00CC4C25" w:rsidP="00CC4C25">
      <w:r>
        <w:t>Y a-t-il certains types d’ouvrages que l’on devra conserver plus longtemps ou racheter car ils sont incontournables dans le domaine ? Quels critères ? Thématiques</w:t>
      </w:r>
      <w:r w:rsidR="00C02E7E">
        <w:t> ? Auteurs incontournables ? Éditeurs ?</w:t>
      </w:r>
    </w:p>
    <w:p w14:paraId="1C759766" w14:textId="4A7504C4" w:rsidR="0072615C" w:rsidRDefault="00042E61" w:rsidP="00CC4C25">
      <w:r>
        <w:t xml:space="preserve">Je </w:t>
      </w:r>
      <w:r w:rsidR="0072615C">
        <w:t>pense racheter les s</w:t>
      </w:r>
      <w:r w:rsidR="0072615C" w:rsidRPr="0072615C">
        <w:t>éries incontournables dont l’état physique est déplorable</w:t>
      </w:r>
      <w:r w:rsidR="0072615C">
        <w:t xml:space="preserve"> : ex : cette année, rachat des 2 tomes de </w:t>
      </w:r>
      <w:r w:rsidR="0072615C" w:rsidRPr="0054284C">
        <w:rPr>
          <w:i/>
          <w:iCs/>
        </w:rPr>
        <w:t>Fondation</w:t>
      </w:r>
      <w:r w:rsidR="0072615C">
        <w:t xml:space="preserve"> de Asimov </w:t>
      </w:r>
      <w:r w:rsidR="00DA5995">
        <w:t>à la suite d’un</w:t>
      </w:r>
      <w:r w:rsidR="0072615C">
        <w:t xml:space="preserve"> dégât des eaux.</w:t>
      </w:r>
    </w:p>
    <w:p w14:paraId="70D52F12" w14:textId="6D5C2488" w:rsidR="00643B29" w:rsidRPr="00643B29" w:rsidRDefault="00643B29" w:rsidP="00643B29">
      <w:r w:rsidRPr="00643B29">
        <w:t>La SF a - plus de d’autres domaines - son lot d’auteurs incontournables qui sont toujours très lus. Ces auteurs sont périodiquement réédités et peuvent être rachetés en poche pour remplacer des titres vieillissant. Attention pas de rachat systématique et pas pour tous les titres : seulement les plus connus (Tolkien, lovecraft, asimov, clark…)</w:t>
      </w:r>
      <w:r>
        <w:t xml:space="preserve"> et à conditions qu’ils soient toujours empruntés.</w:t>
      </w:r>
    </w:p>
    <w:p w14:paraId="46A4A537" w14:textId="77777777" w:rsidR="00643B29" w:rsidRDefault="00643B29" w:rsidP="00CC4C25"/>
    <w:p w14:paraId="5B179671" w14:textId="65E23B3E" w:rsidR="00C02E7E" w:rsidRDefault="00C02E7E" w:rsidP="00C02E7E">
      <w:pPr>
        <w:pStyle w:val="Titre2"/>
      </w:pPr>
      <w:bookmarkStart w:id="7" w:name="_Toc190443700"/>
      <w:r>
        <w:t>Catalogage</w:t>
      </w:r>
      <w:bookmarkEnd w:id="7"/>
    </w:p>
    <w:p w14:paraId="16BFADE4" w14:textId="77777777" w:rsidR="00035ACD" w:rsidRDefault="00035ACD" w:rsidP="00035ACD">
      <w:r>
        <w:t>Quelles sont vos pratiques au moment du catalogage ? Séries ? Genres, centres d’intérêt, public… retouche de la notice ? Spécificités de la fiche exemplaire ?</w:t>
      </w:r>
    </w:p>
    <w:p w14:paraId="76AEA2AF" w14:textId="6B265ED4" w:rsidR="00DA5995" w:rsidRDefault="00DA5995" w:rsidP="00DA5995">
      <w:r>
        <w:t>À l’import du panier Électre, je renseigne le modèle de cote SF (3 premières lettres de l’auteur même pour les séries).</w:t>
      </w:r>
    </w:p>
    <w:p w14:paraId="24A41CFF" w14:textId="15D4E660" w:rsidR="00DA5995" w:rsidRDefault="00DA5995" w:rsidP="00DA5995">
      <w:r>
        <w:t>Lorsque j’ai un tome 1, j’essaye de vérifier généralement sur le site de l’éditeur ou sur Babelio sur combien de tomes se déroule la série et je crée la notice lot dès le tome 1. Pour les séries qui se déclinent en cycle, je fais des lots séparés en indiquant le numéro du cycle dans la notice du lot. Il y a des tomes 1 qui n’ont jamais de suite donc j’attends avant de créer la notice lot</w:t>
      </w:r>
      <w:r w:rsidR="00090002">
        <w:t xml:space="preserve"> si éventuellement il y a une suite.</w:t>
      </w:r>
    </w:p>
    <w:p w14:paraId="34838430" w14:textId="3E4851D2" w:rsidR="0054284C" w:rsidRDefault="00DA5995" w:rsidP="00DA5995">
      <w:r>
        <w:t>Je rajoute systématiquement le champ 902 pour séparer la SF de la fantasy et</w:t>
      </w:r>
      <w:r w:rsidR="00A56B97">
        <w:t xml:space="preserve"> </w:t>
      </w:r>
      <w:r>
        <w:t>d</w:t>
      </w:r>
      <w:r w:rsidR="00A56B97">
        <w:t>’</w:t>
      </w:r>
      <w:r>
        <w:t>autres sous-genres répertoriés dans Electre, parfois j’</w:t>
      </w:r>
      <w:r w:rsidR="0054284C">
        <w:t>accole</w:t>
      </w:r>
      <w:r>
        <w:t xml:space="preserve"> deux genres ex : pour la Romantasy. </w:t>
      </w:r>
    </w:p>
    <w:p w14:paraId="46F91B35" w14:textId="2D9B2913" w:rsidR="00DA5995" w:rsidRDefault="00DA5995" w:rsidP="00DA5995">
      <w:r>
        <w:t>Je mets parfois un centre d’intérêt en champ 901 mais les mots clés sont généralement déjà dans la notice (écologie, amour, politique, orientation sexuelle …)</w:t>
      </w:r>
    </w:p>
    <w:p w14:paraId="4426CE62" w14:textId="5D959F69" w:rsidR="00DA5995" w:rsidRDefault="00DA5995" w:rsidP="00DA5995">
      <w:r>
        <w:t>Pour la notice du lot, je vérifie la présence du champ 983 : lots de document et complète le champ 461t : titre de la série. La cote dans l’exemplaire témoin ne comporte pas de tomaison.</w:t>
      </w:r>
    </w:p>
    <w:p w14:paraId="0055FC2D" w14:textId="4AA37ADE" w:rsidR="00C02E7E" w:rsidRDefault="00C02E7E" w:rsidP="00C02E7E">
      <w:pPr>
        <w:pStyle w:val="Titre2"/>
      </w:pPr>
      <w:bookmarkStart w:id="8" w:name="_Toc190443701"/>
      <w:r>
        <w:t>Désherbage</w:t>
      </w:r>
      <w:bookmarkEnd w:id="8"/>
    </w:p>
    <w:p w14:paraId="59F3CCC9" w14:textId="77777777" w:rsidR="0072615C" w:rsidRDefault="0072615C" w:rsidP="0072615C">
      <w:r>
        <w:t>Comment effectuez-vous le désherbage ? A quelle fréquence ? Sur quels critères vous basez-vous ? Réduction du nombre d’exemplaires ? État physique ? Obsolescence du contenu ? Croisement âge / nb de prêts ?</w:t>
      </w:r>
    </w:p>
    <w:p w14:paraId="54611009" w14:textId="77993D31" w:rsidR="00035ACD" w:rsidRDefault="000A4FE7" w:rsidP="00C02E7E">
      <w:r>
        <w:t xml:space="preserve">Je constate à la reprise du fonds que le désherbage est fortement influencé par la place des dans les étagères. J’ai enlevé tous les 403 et je commence à désherber systématiquement les 404. J’enlève </w:t>
      </w:r>
      <w:r w:rsidR="0072615C">
        <w:t>les doublons</w:t>
      </w:r>
      <w:r>
        <w:t xml:space="preserve"> des 405. </w:t>
      </w:r>
      <w:r w:rsidR="0072615C">
        <w:t xml:space="preserve">Le problème majeur que je vois c’est le manque de place face </w:t>
      </w:r>
      <w:r w:rsidR="00432FE9">
        <w:t>aux grosses séries qui comportent souvent beaucoup de tomes et dont chaque tome est un pavé.</w:t>
      </w:r>
    </w:p>
    <w:p w14:paraId="664C668F" w14:textId="4A5EE0CF" w:rsidR="00175309" w:rsidRDefault="00175309" w:rsidP="00C02E7E">
      <w:r>
        <w:t>En 2025 on essayera de gérer le désherbage avec un listing croisant la date d’achat et la date du dernier prêt.</w:t>
      </w:r>
    </w:p>
    <w:p w14:paraId="68B34451" w14:textId="55051EA2" w:rsidR="00B163F5" w:rsidRDefault="00B163F5" w:rsidP="00B163F5">
      <w:pPr>
        <w:pStyle w:val="Titre2"/>
      </w:pPr>
      <w:bookmarkStart w:id="9" w:name="_Toc190443702"/>
      <w:r>
        <w:lastRenderedPageBreak/>
        <w:t>Quelques références pour quelqu’un qui doit découvrir de domaine</w:t>
      </w:r>
      <w:bookmarkEnd w:id="9"/>
    </w:p>
    <w:p w14:paraId="691C011D" w14:textId="415020F0" w:rsidR="009D25F4" w:rsidRDefault="009D25F4" w:rsidP="00C02E7E">
      <w:r>
        <w:t xml:space="preserve">Étant à proximité de Nantes, je conseillerais de faire un tour aux Utopiales notamment pour </w:t>
      </w:r>
      <w:r w:rsidR="0072615C">
        <w:t>leur librairie éphémère, ainsi que la librairie Atalante et le rayon SF de Durance.</w:t>
      </w:r>
    </w:p>
    <w:p w14:paraId="66C33FBA" w14:textId="31B5F0C8" w:rsidR="0032717A" w:rsidRDefault="0032717A" w:rsidP="0032717A">
      <w:hyperlink r:id="rId7" w:history="1">
        <w:r w:rsidRPr="0032717A">
          <w:rPr>
            <w:rStyle w:val="Lienhypertexte"/>
          </w:rPr>
          <w:t>Le guide de la SF et de la Fantasy</w:t>
        </w:r>
      </w:hyperlink>
      <w:r>
        <w:t xml:space="preserve"> de Karine</w:t>
      </w:r>
      <w:r w:rsidRPr="0032717A">
        <w:t xml:space="preserve"> </w:t>
      </w:r>
      <w:r>
        <w:t>Gobled,  ActuSF, 2017.</w:t>
      </w:r>
    </w:p>
    <w:p w14:paraId="558C02E9" w14:textId="4831ABE0" w:rsidR="0032717A" w:rsidRDefault="0032717A" w:rsidP="0032717A">
      <w:hyperlink r:id="rId8" w:history="1">
        <w:r w:rsidRPr="0032717A">
          <w:rPr>
            <w:rStyle w:val="Lienhypertexte"/>
          </w:rPr>
          <w:t>La fantasy pour les nuls</w:t>
        </w:r>
      </w:hyperlink>
      <w:r>
        <w:t xml:space="preserve"> de Jean-Louis Fetjaine,</w:t>
      </w:r>
      <w:r w:rsidRPr="0032717A">
        <w:t xml:space="preserve"> </w:t>
      </w:r>
      <w:r>
        <w:t>First Editions, 2018.</w:t>
      </w:r>
    </w:p>
    <w:p w14:paraId="612ABBC0" w14:textId="4B7C0FDC" w:rsidR="005458D9" w:rsidRDefault="0032717A" w:rsidP="0032717A">
      <w:hyperlink r:id="rId9" w:history="1">
        <w:r w:rsidRPr="0032717A">
          <w:rPr>
            <w:rStyle w:val="Lienhypertexte"/>
          </w:rPr>
          <w:t>Guide des genres et sous-genres de l'imaginaire</w:t>
        </w:r>
      </w:hyperlink>
      <w:r>
        <w:t xml:space="preserve"> de  Apophis, Albin Michel, 2023.</w:t>
      </w:r>
    </w:p>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90443703"/>
      <w:r>
        <w:lastRenderedPageBreak/>
        <w:t>Données statistiques</w:t>
      </w:r>
      <w:bookmarkEnd w:id="10"/>
    </w:p>
    <w:p w14:paraId="40EB01AA" w14:textId="60EDEDCE" w:rsidR="00176B8B" w:rsidRDefault="00176B8B" w:rsidP="00176B8B">
      <w:pPr>
        <w:pStyle w:val="Titre2"/>
      </w:pPr>
      <w:bookmarkStart w:id="11" w:name="_Toc190443704"/>
      <w:r>
        <w:t>2025 (données 2024)</w:t>
      </w:r>
      <w:bookmarkEnd w:id="11"/>
    </w:p>
    <w:tbl>
      <w:tblPr>
        <w:tblW w:w="13059" w:type="dxa"/>
        <w:tblCellMar>
          <w:left w:w="70" w:type="dxa"/>
          <w:right w:w="70" w:type="dxa"/>
        </w:tblCellMar>
        <w:tblLook w:val="04A0" w:firstRow="1" w:lastRow="0" w:firstColumn="1" w:lastColumn="0" w:noHBand="0" w:noVBand="1"/>
      </w:tblPr>
      <w:tblGrid>
        <w:gridCol w:w="2400"/>
        <w:gridCol w:w="851"/>
        <w:gridCol w:w="992"/>
        <w:gridCol w:w="1276"/>
        <w:gridCol w:w="708"/>
        <w:gridCol w:w="993"/>
        <w:gridCol w:w="992"/>
        <w:gridCol w:w="1276"/>
        <w:gridCol w:w="708"/>
        <w:gridCol w:w="1021"/>
        <w:gridCol w:w="708"/>
        <w:gridCol w:w="1134"/>
      </w:tblGrid>
      <w:tr w:rsidR="00176B8B" w:rsidRPr="00176B8B" w14:paraId="584FB54F" w14:textId="77777777" w:rsidTr="00176B8B">
        <w:trPr>
          <w:trHeight w:val="825"/>
        </w:trPr>
        <w:tc>
          <w:tcPr>
            <w:tcW w:w="2400" w:type="dxa"/>
            <w:tcBorders>
              <w:top w:val="single" w:sz="8" w:space="0" w:color="auto"/>
              <w:left w:val="single" w:sz="8" w:space="0" w:color="auto"/>
              <w:bottom w:val="nil"/>
              <w:right w:val="single" w:sz="4" w:space="0" w:color="auto"/>
            </w:tcBorders>
            <w:vAlign w:val="center"/>
            <w:hideMark/>
          </w:tcPr>
          <w:p w14:paraId="3F4F8C53"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Localisation origine</w:t>
            </w:r>
          </w:p>
        </w:tc>
        <w:tc>
          <w:tcPr>
            <w:tcW w:w="851" w:type="dxa"/>
            <w:tcBorders>
              <w:top w:val="single" w:sz="8" w:space="0" w:color="auto"/>
              <w:left w:val="nil"/>
              <w:bottom w:val="nil"/>
              <w:right w:val="single" w:sz="4" w:space="0" w:color="auto"/>
            </w:tcBorders>
            <w:vAlign w:val="center"/>
            <w:hideMark/>
          </w:tcPr>
          <w:p w14:paraId="69C71548"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nb docs</w:t>
            </w:r>
          </w:p>
        </w:tc>
        <w:tc>
          <w:tcPr>
            <w:tcW w:w="992" w:type="dxa"/>
            <w:tcBorders>
              <w:top w:val="single" w:sz="8" w:space="0" w:color="auto"/>
              <w:left w:val="nil"/>
              <w:bottom w:val="nil"/>
              <w:right w:val="single" w:sz="4" w:space="0" w:color="auto"/>
            </w:tcBorders>
            <w:vAlign w:val="center"/>
            <w:hideMark/>
          </w:tcPr>
          <w:p w14:paraId="15884FCA"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en prêt</w:t>
            </w:r>
          </w:p>
        </w:tc>
        <w:tc>
          <w:tcPr>
            <w:tcW w:w="1276" w:type="dxa"/>
            <w:tcBorders>
              <w:top w:val="single" w:sz="8" w:space="0" w:color="auto"/>
              <w:left w:val="nil"/>
              <w:bottom w:val="nil"/>
              <w:right w:val="single" w:sz="4" w:space="0" w:color="auto"/>
            </w:tcBorders>
            <w:shd w:val="clear" w:color="000000" w:fill="C6E0B4"/>
            <w:vAlign w:val="center"/>
            <w:hideMark/>
          </w:tcPr>
          <w:p w14:paraId="2969A9B0"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%age prêts</w:t>
            </w:r>
          </w:p>
        </w:tc>
        <w:tc>
          <w:tcPr>
            <w:tcW w:w="708" w:type="dxa"/>
            <w:tcBorders>
              <w:top w:val="single" w:sz="8" w:space="0" w:color="auto"/>
              <w:left w:val="nil"/>
              <w:bottom w:val="nil"/>
              <w:right w:val="single" w:sz="4" w:space="0" w:color="auto"/>
            </w:tcBorders>
            <w:vAlign w:val="center"/>
            <w:hideMark/>
          </w:tcPr>
          <w:p w14:paraId="559F8C58"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moins 5 ans</w:t>
            </w:r>
          </w:p>
        </w:tc>
        <w:tc>
          <w:tcPr>
            <w:tcW w:w="993" w:type="dxa"/>
            <w:tcBorders>
              <w:top w:val="single" w:sz="8" w:space="0" w:color="auto"/>
              <w:left w:val="nil"/>
              <w:bottom w:val="nil"/>
              <w:right w:val="single" w:sz="4" w:space="0" w:color="auto"/>
            </w:tcBorders>
            <w:vAlign w:val="center"/>
            <w:hideMark/>
          </w:tcPr>
          <w:p w14:paraId="64D7E9C7"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%age - 5 ans</w:t>
            </w:r>
          </w:p>
        </w:tc>
        <w:tc>
          <w:tcPr>
            <w:tcW w:w="992" w:type="dxa"/>
            <w:tcBorders>
              <w:top w:val="single" w:sz="8" w:space="0" w:color="auto"/>
              <w:left w:val="nil"/>
              <w:bottom w:val="nil"/>
              <w:right w:val="single" w:sz="4" w:space="0" w:color="auto"/>
            </w:tcBorders>
            <w:vAlign w:val="center"/>
            <w:hideMark/>
          </w:tcPr>
          <w:p w14:paraId="4A306104"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nb prêts - 5 ans</w:t>
            </w:r>
          </w:p>
        </w:tc>
        <w:tc>
          <w:tcPr>
            <w:tcW w:w="1276" w:type="dxa"/>
            <w:tcBorders>
              <w:top w:val="single" w:sz="8" w:space="0" w:color="auto"/>
              <w:left w:val="nil"/>
              <w:bottom w:val="nil"/>
              <w:right w:val="single" w:sz="4" w:space="0" w:color="auto"/>
            </w:tcBorders>
            <w:shd w:val="clear" w:color="000000" w:fill="C6E0B4"/>
            <w:vAlign w:val="center"/>
            <w:hideMark/>
          </w:tcPr>
          <w:p w14:paraId="3D06BB9B"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%age - 5 ans en prêt</w:t>
            </w:r>
          </w:p>
        </w:tc>
        <w:tc>
          <w:tcPr>
            <w:tcW w:w="708" w:type="dxa"/>
            <w:tcBorders>
              <w:top w:val="single" w:sz="8" w:space="0" w:color="auto"/>
              <w:left w:val="nil"/>
              <w:bottom w:val="nil"/>
              <w:right w:val="single" w:sz="4" w:space="0" w:color="auto"/>
            </w:tcBorders>
            <w:vAlign w:val="center"/>
            <w:hideMark/>
          </w:tcPr>
          <w:p w14:paraId="46580B64"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acq° 2024</w:t>
            </w:r>
          </w:p>
        </w:tc>
        <w:tc>
          <w:tcPr>
            <w:tcW w:w="1021" w:type="dxa"/>
            <w:tcBorders>
              <w:top w:val="single" w:sz="8" w:space="0" w:color="auto"/>
              <w:left w:val="nil"/>
              <w:bottom w:val="nil"/>
              <w:right w:val="single" w:sz="4" w:space="0" w:color="auto"/>
            </w:tcBorders>
            <w:vAlign w:val="center"/>
            <w:hideMark/>
          </w:tcPr>
          <w:p w14:paraId="3AB9CC40"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acq° annuelles</w:t>
            </w:r>
          </w:p>
        </w:tc>
        <w:tc>
          <w:tcPr>
            <w:tcW w:w="708" w:type="dxa"/>
            <w:tcBorders>
              <w:top w:val="single" w:sz="8" w:space="0" w:color="auto"/>
              <w:left w:val="nil"/>
              <w:bottom w:val="nil"/>
              <w:right w:val="single" w:sz="4" w:space="0" w:color="auto"/>
            </w:tcBorders>
            <w:shd w:val="clear" w:color="000000" w:fill="C6E0B4"/>
            <w:vAlign w:val="center"/>
            <w:hideMark/>
          </w:tcPr>
          <w:p w14:paraId="04DD93B0" w14:textId="77777777" w:rsidR="00176B8B" w:rsidRPr="00176B8B" w:rsidRDefault="00176B8B" w:rsidP="00176B8B">
            <w:pPr>
              <w:spacing w:after="0" w:line="240" w:lineRule="auto"/>
              <w:jc w:val="center"/>
              <w:rPr>
                <w:rFonts w:ascii="Calibri" w:eastAsia="Times New Roman" w:hAnsi="Calibri" w:cs="Calibri"/>
                <w:b/>
                <w:bCs/>
                <w:lang w:eastAsia="fr-FR"/>
              </w:rPr>
            </w:pPr>
            <w:r w:rsidRPr="00176B8B">
              <w:rPr>
                <w:rFonts w:ascii="Calibri" w:eastAsia="Times New Roman" w:hAnsi="Calibri" w:cs="Calibri"/>
                <w:b/>
                <w:bCs/>
                <w:lang w:eastAsia="fr-FR"/>
              </w:rPr>
              <w:t>âge réel</w:t>
            </w:r>
          </w:p>
        </w:tc>
        <w:tc>
          <w:tcPr>
            <w:tcW w:w="1134" w:type="dxa"/>
            <w:tcBorders>
              <w:top w:val="single" w:sz="8" w:space="0" w:color="auto"/>
              <w:left w:val="nil"/>
              <w:bottom w:val="nil"/>
              <w:right w:val="single" w:sz="8" w:space="0" w:color="auto"/>
            </w:tcBorders>
            <w:shd w:val="clear" w:color="000000" w:fill="C6E0B4"/>
            <w:vAlign w:val="center"/>
            <w:hideMark/>
          </w:tcPr>
          <w:p w14:paraId="437771A6" w14:textId="77777777" w:rsidR="00176B8B" w:rsidRPr="00176B8B" w:rsidRDefault="00176B8B" w:rsidP="00176B8B">
            <w:pPr>
              <w:spacing w:after="0" w:line="240" w:lineRule="auto"/>
              <w:ind w:firstLineChars="100" w:firstLine="221"/>
              <w:rPr>
                <w:rFonts w:ascii="Calibri" w:eastAsia="Times New Roman" w:hAnsi="Calibri" w:cs="Calibri"/>
                <w:b/>
                <w:bCs/>
                <w:lang w:eastAsia="fr-FR"/>
              </w:rPr>
            </w:pPr>
            <w:r w:rsidRPr="00176B8B">
              <w:rPr>
                <w:rFonts w:ascii="Calibri" w:eastAsia="Times New Roman" w:hAnsi="Calibri" w:cs="Calibri"/>
                <w:b/>
                <w:bCs/>
                <w:lang w:eastAsia="fr-FR"/>
              </w:rPr>
              <w:t>âge théorique</w:t>
            </w:r>
          </w:p>
        </w:tc>
      </w:tr>
      <w:tr w:rsidR="00176B8B" w:rsidRPr="00176B8B" w14:paraId="6A6AB48A" w14:textId="77777777" w:rsidTr="00176B8B">
        <w:trPr>
          <w:trHeight w:val="300"/>
        </w:trPr>
        <w:tc>
          <w:tcPr>
            <w:tcW w:w="2400"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04EB86E6"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SF adultes</w:t>
            </w:r>
          </w:p>
        </w:tc>
        <w:tc>
          <w:tcPr>
            <w:tcW w:w="851" w:type="dxa"/>
            <w:tcBorders>
              <w:top w:val="single" w:sz="4" w:space="0" w:color="auto"/>
              <w:left w:val="nil"/>
              <w:bottom w:val="single" w:sz="4" w:space="0" w:color="auto"/>
              <w:right w:val="single" w:sz="4" w:space="0" w:color="auto"/>
            </w:tcBorders>
            <w:vAlign w:val="center"/>
            <w:hideMark/>
          </w:tcPr>
          <w:p w14:paraId="5AA2C7F2"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3256</w:t>
            </w:r>
          </w:p>
        </w:tc>
        <w:tc>
          <w:tcPr>
            <w:tcW w:w="992" w:type="dxa"/>
            <w:tcBorders>
              <w:top w:val="single" w:sz="4" w:space="0" w:color="auto"/>
              <w:left w:val="nil"/>
              <w:bottom w:val="single" w:sz="4" w:space="0" w:color="auto"/>
              <w:right w:val="single" w:sz="4" w:space="0" w:color="auto"/>
            </w:tcBorders>
            <w:vAlign w:val="center"/>
            <w:hideMark/>
          </w:tcPr>
          <w:p w14:paraId="31DD7711"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2537</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182D8D16"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77,9</w:t>
            </w:r>
          </w:p>
        </w:tc>
        <w:tc>
          <w:tcPr>
            <w:tcW w:w="708" w:type="dxa"/>
            <w:tcBorders>
              <w:top w:val="single" w:sz="4" w:space="0" w:color="auto"/>
              <w:left w:val="nil"/>
              <w:bottom w:val="single" w:sz="4" w:space="0" w:color="auto"/>
              <w:right w:val="single" w:sz="4" w:space="0" w:color="auto"/>
            </w:tcBorders>
            <w:vAlign w:val="center"/>
            <w:hideMark/>
          </w:tcPr>
          <w:p w14:paraId="268A4A87"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1191</w:t>
            </w:r>
          </w:p>
        </w:tc>
        <w:tc>
          <w:tcPr>
            <w:tcW w:w="993" w:type="dxa"/>
            <w:tcBorders>
              <w:top w:val="single" w:sz="4" w:space="0" w:color="auto"/>
              <w:left w:val="nil"/>
              <w:bottom w:val="single" w:sz="4" w:space="0" w:color="auto"/>
              <w:right w:val="single" w:sz="4" w:space="0" w:color="auto"/>
            </w:tcBorders>
            <w:vAlign w:val="center"/>
            <w:hideMark/>
          </w:tcPr>
          <w:p w14:paraId="2259E61A"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36,6</w:t>
            </w:r>
          </w:p>
        </w:tc>
        <w:tc>
          <w:tcPr>
            <w:tcW w:w="992" w:type="dxa"/>
            <w:tcBorders>
              <w:top w:val="single" w:sz="4" w:space="0" w:color="auto"/>
              <w:left w:val="nil"/>
              <w:bottom w:val="single" w:sz="4" w:space="0" w:color="auto"/>
              <w:right w:val="single" w:sz="4" w:space="0" w:color="auto"/>
            </w:tcBorders>
            <w:vAlign w:val="center"/>
            <w:hideMark/>
          </w:tcPr>
          <w:p w14:paraId="6DDD2ABD"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971</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58BD96CF"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81,5</w:t>
            </w:r>
          </w:p>
        </w:tc>
        <w:tc>
          <w:tcPr>
            <w:tcW w:w="708" w:type="dxa"/>
            <w:tcBorders>
              <w:top w:val="single" w:sz="4" w:space="0" w:color="auto"/>
              <w:left w:val="nil"/>
              <w:bottom w:val="single" w:sz="4" w:space="0" w:color="auto"/>
              <w:right w:val="single" w:sz="4" w:space="0" w:color="auto"/>
            </w:tcBorders>
            <w:vAlign w:val="center"/>
            <w:hideMark/>
          </w:tcPr>
          <w:p w14:paraId="7C4F70AB"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215</w:t>
            </w:r>
          </w:p>
        </w:tc>
        <w:tc>
          <w:tcPr>
            <w:tcW w:w="1021" w:type="dxa"/>
            <w:tcBorders>
              <w:top w:val="single" w:sz="4" w:space="0" w:color="auto"/>
              <w:left w:val="nil"/>
              <w:bottom w:val="single" w:sz="4" w:space="0" w:color="auto"/>
              <w:right w:val="single" w:sz="4" w:space="0" w:color="auto"/>
            </w:tcBorders>
            <w:vAlign w:val="center"/>
            <w:hideMark/>
          </w:tcPr>
          <w:p w14:paraId="0EA2386D"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209</w:t>
            </w:r>
          </w:p>
        </w:tc>
        <w:tc>
          <w:tcPr>
            <w:tcW w:w="708" w:type="dxa"/>
            <w:tcBorders>
              <w:top w:val="single" w:sz="4" w:space="0" w:color="auto"/>
              <w:left w:val="nil"/>
              <w:bottom w:val="single" w:sz="4" w:space="0" w:color="auto"/>
              <w:right w:val="single" w:sz="4" w:space="0" w:color="auto"/>
            </w:tcBorders>
            <w:shd w:val="clear" w:color="000000" w:fill="C6E0B4"/>
            <w:noWrap/>
            <w:vAlign w:val="bottom"/>
            <w:hideMark/>
          </w:tcPr>
          <w:p w14:paraId="005B5B15"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6,5</w:t>
            </w:r>
          </w:p>
        </w:tc>
        <w:tc>
          <w:tcPr>
            <w:tcW w:w="1134" w:type="dxa"/>
            <w:tcBorders>
              <w:top w:val="single" w:sz="4" w:space="0" w:color="auto"/>
              <w:left w:val="nil"/>
              <w:bottom w:val="single" w:sz="4" w:space="0" w:color="auto"/>
              <w:right w:val="single" w:sz="8" w:space="0" w:color="auto"/>
            </w:tcBorders>
            <w:shd w:val="clear" w:color="000000" w:fill="C6E0B4"/>
            <w:vAlign w:val="center"/>
            <w:hideMark/>
          </w:tcPr>
          <w:p w14:paraId="4BC1F1EB" w14:textId="77777777" w:rsidR="00176B8B" w:rsidRPr="00176B8B" w:rsidRDefault="00176B8B" w:rsidP="00176B8B">
            <w:pPr>
              <w:spacing w:after="0" w:line="240" w:lineRule="auto"/>
              <w:rPr>
                <w:rFonts w:ascii="Calibri" w:eastAsia="Times New Roman" w:hAnsi="Calibri" w:cs="Calibri"/>
                <w:b/>
                <w:bCs/>
                <w:color w:val="FF0000"/>
                <w:lang w:eastAsia="fr-FR"/>
              </w:rPr>
            </w:pPr>
            <w:r w:rsidRPr="00176B8B">
              <w:rPr>
                <w:rFonts w:ascii="Calibri" w:eastAsia="Times New Roman" w:hAnsi="Calibri" w:cs="Calibri"/>
                <w:b/>
                <w:bCs/>
                <w:color w:val="FF0000"/>
                <w:lang w:eastAsia="fr-FR"/>
              </w:rPr>
              <w:t>7,8</w:t>
            </w:r>
          </w:p>
        </w:tc>
      </w:tr>
      <w:tr w:rsidR="00176B8B" w:rsidRPr="00176B8B" w14:paraId="5A12B044" w14:textId="77777777" w:rsidTr="00176B8B">
        <w:trPr>
          <w:trHeight w:val="402"/>
        </w:trPr>
        <w:tc>
          <w:tcPr>
            <w:tcW w:w="2400" w:type="dxa"/>
            <w:tcBorders>
              <w:top w:val="nil"/>
              <w:left w:val="single" w:sz="8" w:space="0" w:color="auto"/>
              <w:bottom w:val="single" w:sz="4" w:space="0" w:color="auto"/>
              <w:right w:val="single" w:sz="4" w:space="0" w:color="auto"/>
            </w:tcBorders>
            <w:noWrap/>
            <w:vAlign w:val="bottom"/>
            <w:hideMark/>
          </w:tcPr>
          <w:p w14:paraId="1A9CF724" w14:textId="77777777" w:rsidR="00176B8B" w:rsidRPr="00176B8B" w:rsidRDefault="00176B8B" w:rsidP="00176B8B">
            <w:pPr>
              <w:spacing w:after="0" w:line="240" w:lineRule="auto"/>
              <w:rPr>
                <w:rFonts w:ascii="Calibri" w:eastAsia="Times New Roman" w:hAnsi="Calibri" w:cs="Calibri"/>
                <w:b/>
                <w:bCs/>
                <w:color w:val="0000FF"/>
                <w:sz w:val="20"/>
                <w:szCs w:val="20"/>
                <w:lang w:eastAsia="fr-FR"/>
              </w:rPr>
            </w:pPr>
            <w:r w:rsidRPr="00176B8B">
              <w:rPr>
                <w:rFonts w:ascii="Calibri" w:eastAsia="Times New Roman" w:hAnsi="Calibri" w:cs="Calibri"/>
                <w:b/>
                <w:bCs/>
                <w:color w:val="0000FF"/>
                <w:sz w:val="20"/>
                <w:szCs w:val="20"/>
                <w:lang w:eastAsia="fr-FR"/>
              </w:rPr>
              <w:t>Total Livres Adultes</w:t>
            </w:r>
          </w:p>
        </w:tc>
        <w:tc>
          <w:tcPr>
            <w:tcW w:w="851" w:type="dxa"/>
            <w:tcBorders>
              <w:top w:val="nil"/>
              <w:left w:val="nil"/>
              <w:bottom w:val="single" w:sz="4" w:space="0" w:color="auto"/>
              <w:right w:val="single" w:sz="4" w:space="0" w:color="auto"/>
            </w:tcBorders>
            <w:noWrap/>
            <w:vAlign w:val="bottom"/>
            <w:hideMark/>
          </w:tcPr>
          <w:p w14:paraId="12C1CDDD"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65206</w:t>
            </w:r>
          </w:p>
        </w:tc>
        <w:tc>
          <w:tcPr>
            <w:tcW w:w="992" w:type="dxa"/>
            <w:tcBorders>
              <w:top w:val="nil"/>
              <w:left w:val="nil"/>
              <w:bottom w:val="single" w:sz="4" w:space="0" w:color="auto"/>
              <w:right w:val="single" w:sz="4" w:space="0" w:color="auto"/>
            </w:tcBorders>
            <w:noWrap/>
            <w:vAlign w:val="bottom"/>
            <w:hideMark/>
          </w:tcPr>
          <w:p w14:paraId="30034A16"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48952</w:t>
            </w:r>
          </w:p>
        </w:tc>
        <w:tc>
          <w:tcPr>
            <w:tcW w:w="1276" w:type="dxa"/>
            <w:tcBorders>
              <w:top w:val="nil"/>
              <w:left w:val="nil"/>
              <w:bottom w:val="single" w:sz="4" w:space="0" w:color="auto"/>
              <w:right w:val="single" w:sz="4" w:space="0" w:color="auto"/>
            </w:tcBorders>
            <w:shd w:val="clear" w:color="000000" w:fill="C6E0B4"/>
            <w:noWrap/>
            <w:vAlign w:val="bottom"/>
            <w:hideMark/>
          </w:tcPr>
          <w:p w14:paraId="093E0DAE"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75,1</w:t>
            </w:r>
          </w:p>
        </w:tc>
        <w:tc>
          <w:tcPr>
            <w:tcW w:w="708" w:type="dxa"/>
            <w:tcBorders>
              <w:top w:val="nil"/>
              <w:left w:val="nil"/>
              <w:bottom w:val="single" w:sz="4" w:space="0" w:color="auto"/>
              <w:right w:val="single" w:sz="4" w:space="0" w:color="auto"/>
            </w:tcBorders>
            <w:noWrap/>
            <w:vAlign w:val="bottom"/>
            <w:hideMark/>
          </w:tcPr>
          <w:p w14:paraId="2C9F7DF7"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23436</w:t>
            </w:r>
          </w:p>
        </w:tc>
        <w:tc>
          <w:tcPr>
            <w:tcW w:w="993" w:type="dxa"/>
            <w:tcBorders>
              <w:top w:val="nil"/>
              <w:left w:val="nil"/>
              <w:bottom w:val="single" w:sz="4" w:space="0" w:color="auto"/>
              <w:right w:val="single" w:sz="4" w:space="0" w:color="auto"/>
            </w:tcBorders>
            <w:noWrap/>
            <w:vAlign w:val="bottom"/>
            <w:hideMark/>
          </w:tcPr>
          <w:p w14:paraId="7DB03795"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35,9</w:t>
            </w:r>
          </w:p>
        </w:tc>
        <w:tc>
          <w:tcPr>
            <w:tcW w:w="992" w:type="dxa"/>
            <w:tcBorders>
              <w:top w:val="nil"/>
              <w:left w:val="nil"/>
              <w:bottom w:val="single" w:sz="4" w:space="0" w:color="auto"/>
              <w:right w:val="single" w:sz="4" w:space="0" w:color="auto"/>
            </w:tcBorders>
            <w:noWrap/>
            <w:vAlign w:val="bottom"/>
            <w:hideMark/>
          </w:tcPr>
          <w:p w14:paraId="6C513A93"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18902</w:t>
            </w:r>
          </w:p>
        </w:tc>
        <w:tc>
          <w:tcPr>
            <w:tcW w:w="1276" w:type="dxa"/>
            <w:tcBorders>
              <w:top w:val="nil"/>
              <w:left w:val="nil"/>
              <w:bottom w:val="single" w:sz="4" w:space="0" w:color="auto"/>
              <w:right w:val="single" w:sz="4" w:space="0" w:color="auto"/>
            </w:tcBorders>
            <w:shd w:val="clear" w:color="000000" w:fill="C6E0B4"/>
            <w:noWrap/>
            <w:vAlign w:val="bottom"/>
            <w:hideMark/>
          </w:tcPr>
          <w:p w14:paraId="03410587"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80,7</w:t>
            </w:r>
          </w:p>
        </w:tc>
        <w:tc>
          <w:tcPr>
            <w:tcW w:w="708" w:type="dxa"/>
            <w:tcBorders>
              <w:top w:val="nil"/>
              <w:left w:val="nil"/>
              <w:bottom w:val="single" w:sz="4" w:space="0" w:color="auto"/>
              <w:right w:val="single" w:sz="4" w:space="0" w:color="auto"/>
            </w:tcBorders>
            <w:noWrap/>
            <w:vAlign w:val="bottom"/>
            <w:hideMark/>
          </w:tcPr>
          <w:p w14:paraId="707DC3B6"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4585</w:t>
            </w:r>
          </w:p>
        </w:tc>
        <w:tc>
          <w:tcPr>
            <w:tcW w:w="1021" w:type="dxa"/>
            <w:tcBorders>
              <w:top w:val="nil"/>
              <w:left w:val="nil"/>
              <w:bottom w:val="single" w:sz="4" w:space="0" w:color="auto"/>
              <w:right w:val="single" w:sz="4" w:space="0" w:color="auto"/>
            </w:tcBorders>
            <w:noWrap/>
            <w:vAlign w:val="bottom"/>
            <w:hideMark/>
          </w:tcPr>
          <w:p w14:paraId="23CA1BC0"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4443</w:t>
            </w:r>
          </w:p>
        </w:tc>
        <w:tc>
          <w:tcPr>
            <w:tcW w:w="708" w:type="dxa"/>
            <w:tcBorders>
              <w:top w:val="nil"/>
              <w:left w:val="nil"/>
              <w:bottom w:val="single" w:sz="4" w:space="0" w:color="auto"/>
              <w:right w:val="single" w:sz="4" w:space="0" w:color="auto"/>
            </w:tcBorders>
            <w:shd w:val="clear" w:color="000000" w:fill="C6E0B4"/>
            <w:noWrap/>
            <w:vAlign w:val="bottom"/>
            <w:hideMark/>
          </w:tcPr>
          <w:p w14:paraId="1B975E42"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6,7</w:t>
            </w:r>
          </w:p>
        </w:tc>
        <w:tc>
          <w:tcPr>
            <w:tcW w:w="1134" w:type="dxa"/>
            <w:tcBorders>
              <w:top w:val="nil"/>
              <w:left w:val="nil"/>
              <w:bottom w:val="single" w:sz="4" w:space="0" w:color="auto"/>
              <w:right w:val="single" w:sz="8" w:space="0" w:color="auto"/>
            </w:tcBorders>
            <w:shd w:val="clear" w:color="000000" w:fill="C6E0B4"/>
            <w:noWrap/>
            <w:vAlign w:val="bottom"/>
            <w:hideMark/>
          </w:tcPr>
          <w:p w14:paraId="1907C4B9"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7,3</w:t>
            </w:r>
          </w:p>
        </w:tc>
      </w:tr>
      <w:tr w:rsidR="00176B8B" w:rsidRPr="00176B8B" w14:paraId="18DBF3C5" w14:textId="77777777" w:rsidTr="00176B8B">
        <w:trPr>
          <w:trHeight w:val="402"/>
        </w:trPr>
        <w:tc>
          <w:tcPr>
            <w:tcW w:w="2400" w:type="dxa"/>
            <w:tcBorders>
              <w:top w:val="nil"/>
              <w:left w:val="single" w:sz="8" w:space="0" w:color="auto"/>
              <w:bottom w:val="single" w:sz="4" w:space="0" w:color="auto"/>
              <w:right w:val="single" w:sz="4" w:space="0" w:color="auto"/>
            </w:tcBorders>
            <w:noWrap/>
            <w:vAlign w:val="bottom"/>
            <w:hideMark/>
          </w:tcPr>
          <w:p w14:paraId="1A011059" w14:textId="77777777" w:rsidR="00176B8B" w:rsidRPr="00176B8B" w:rsidRDefault="00176B8B" w:rsidP="00176B8B">
            <w:pPr>
              <w:spacing w:after="0" w:line="240" w:lineRule="auto"/>
              <w:rPr>
                <w:rFonts w:ascii="Calibri" w:eastAsia="Times New Roman" w:hAnsi="Calibri" w:cs="Calibri"/>
                <w:b/>
                <w:bCs/>
                <w:color w:val="0000FF"/>
                <w:sz w:val="20"/>
                <w:szCs w:val="20"/>
                <w:lang w:eastAsia="fr-FR"/>
              </w:rPr>
            </w:pPr>
            <w:r w:rsidRPr="00176B8B">
              <w:rPr>
                <w:rFonts w:ascii="Calibri" w:eastAsia="Times New Roman" w:hAnsi="Calibri" w:cs="Calibri"/>
                <w:b/>
                <w:bCs/>
                <w:color w:val="0000FF"/>
                <w:sz w:val="20"/>
                <w:szCs w:val="20"/>
                <w:lang w:eastAsia="fr-FR"/>
              </w:rPr>
              <w:t>Total Livres</w:t>
            </w:r>
          </w:p>
        </w:tc>
        <w:tc>
          <w:tcPr>
            <w:tcW w:w="851" w:type="dxa"/>
            <w:tcBorders>
              <w:top w:val="nil"/>
              <w:left w:val="nil"/>
              <w:bottom w:val="single" w:sz="4" w:space="0" w:color="auto"/>
              <w:right w:val="single" w:sz="4" w:space="0" w:color="auto"/>
            </w:tcBorders>
            <w:noWrap/>
            <w:vAlign w:val="bottom"/>
            <w:hideMark/>
          </w:tcPr>
          <w:p w14:paraId="35DCF289"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noWrap/>
            <w:vAlign w:val="bottom"/>
            <w:hideMark/>
          </w:tcPr>
          <w:p w14:paraId="78514131"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603EE352"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74,2</w:t>
            </w:r>
          </w:p>
        </w:tc>
        <w:tc>
          <w:tcPr>
            <w:tcW w:w="708" w:type="dxa"/>
            <w:tcBorders>
              <w:top w:val="nil"/>
              <w:left w:val="nil"/>
              <w:bottom w:val="single" w:sz="4" w:space="0" w:color="auto"/>
              <w:right w:val="single" w:sz="4" w:space="0" w:color="auto"/>
            </w:tcBorders>
            <w:noWrap/>
            <w:vAlign w:val="bottom"/>
            <w:hideMark/>
          </w:tcPr>
          <w:p w14:paraId="67A397A1"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60710</w:t>
            </w:r>
          </w:p>
        </w:tc>
        <w:tc>
          <w:tcPr>
            <w:tcW w:w="993" w:type="dxa"/>
            <w:tcBorders>
              <w:top w:val="nil"/>
              <w:left w:val="nil"/>
              <w:bottom w:val="single" w:sz="4" w:space="0" w:color="auto"/>
              <w:right w:val="single" w:sz="4" w:space="0" w:color="auto"/>
            </w:tcBorders>
            <w:noWrap/>
            <w:vAlign w:val="bottom"/>
            <w:hideMark/>
          </w:tcPr>
          <w:p w14:paraId="09FCE956"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noWrap/>
            <w:vAlign w:val="bottom"/>
            <w:hideMark/>
          </w:tcPr>
          <w:p w14:paraId="469046A8"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50049</w:t>
            </w:r>
          </w:p>
        </w:tc>
        <w:tc>
          <w:tcPr>
            <w:tcW w:w="1276" w:type="dxa"/>
            <w:tcBorders>
              <w:top w:val="nil"/>
              <w:left w:val="nil"/>
              <w:bottom w:val="single" w:sz="4" w:space="0" w:color="auto"/>
              <w:right w:val="single" w:sz="4" w:space="0" w:color="auto"/>
            </w:tcBorders>
            <w:shd w:val="clear" w:color="000000" w:fill="C6E0B4"/>
            <w:noWrap/>
            <w:vAlign w:val="bottom"/>
            <w:hideMark/>
          </w:tcPr>
          <w:p w14:paraId="27F380A3"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82,4</w:t>
            </w:r>
          </w:p>
        </w:tc>
        <w:tc>
          <w:tcPr>
            <w:tcW w:w="708" w:type="dxa"/>
            <w:tcBorders>
              <w:top w:val="nil"/>
              <w:left w:val="nil"/>
              <w:bottom w:val="single" w:sz="4" w:space="0" w:color="auto"/>
              <w:right w:val="single" w:sz="4" w:space="0" w:color="auto"/>
            </w:tcBorders>
            <w:noWrap/>
            <w:vAlign w:val="bottom"/>
            <w:hideMark/>
          </w:tcPr>
          <w:p w14:paraId="439AAC61"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noWrap/>
            <w:vAlign w:val="bottom"/>
            <w:hideMark/>
          </w:tcPr>
          <w:p w14:paraId="1FD3E3CD"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11460</w:t>
            </w:r>
          </w:p>
        </w:tc>
        <w:tc>
          <w:tcPr>
            <w:tcW w:w="708" w:type="dxa"/>
            <w:tcBorders>
              <w:top w:val="nil"/>
              <w:left w:val="nil"/>
              <w:bottom w:val="single" w:sz="4" w:space="0" w:color="auto"/>
              <w:right w:val="single" w:sz="4" w:space="0" w:color="auto"/>
            </w:tcBorders>
            <w:shd w:val="clear" w:color="000000" w:fill="C6E0B4"/>
            <w:noWrap/>
            <w:vAlign w:val="bottom"/>
            <w:hideMark/>
          </w:tcPr>
          <w:p w14:paraId="1ED6EBCB"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7,5</w:t>
            </w:r>
          </w:p>
        </w:tc>
        <w:tc>
          <w:tcPr>
            <w:tcW w:w="1134" w:type="dxa"/>
            <w:tcBorders>
              <w:top w:val="nil"/>
              <w:left w:val="nil"/>
              <w:bottom w:val="single" w:sz="4" w:space="0" w:color="auto"/>
              <w:right w:val="single" w:sz="8" w:space="0" w:color="auto"/>
            </w:tcBorders>
            <w:shd w:val="clear" w:color="000000" w:fill="C6E0B4"/>
            <w:noWrap/>
            <w:vAlign w:val="bottom"/>
            <w:hideMark/>
          </w:tcPr>
          <w:p w14:paraId="362086B1"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7,5</w:t>
            </w:r>
          </w:p>
        </w:tc>
      </w:tr>
      <w:tr w:rsidR="00176B8B" w:rsidRPr="00176B8B" w14:paraId="108106C5" w14:textId="77777777" w:rsidTr="00176B8B">
        <w:trPr>
          <w:trHeight w:val="402"/>
        </w:trPr>
        <w:tc>
          <w:tcPr>
            <w:tcW w:w="2400" w:type="dxa"/>
            <w:tcBorders>
              <w:top w:val="nil"/>
              <w:left w:val="single" w:sz="8" w:space="0" w:color="auto"/>
              <w:bottom w:val="single" w:sz="8" w:space="0" w:color="auto"/>
              <w:right w:val="single" w:sz="4" w:space="0" w:color="auto"/>
            </w:tcBorders>
            <w:noWrap/>
            <w:vAlign w:val="bottom"/>
            <w:hideMark/>
          </w:tcPr>
          <w:p w14:paraId="49237A46" w14:textId="77777777" w:rsidR="00176B8B" w:rsidRPr="00176B8B" w:rsidRDefault="00176B8B" w:rsidP="00176B8B">
            <w:pPr>
              <w:spacing w:after="0" w:line="240" w:lineRule="auto"/>
              <w:rPr>
                <w:rFonts w:ascii="Calibri" w:eastAsia="Times New Roman" w:hAnsi="Calibri" w:cs="Calibri"/>
                <w:b/>
                <w:bCs/>
                <w:color w:val="0000FF"/>
                <w:sz w:val="20"/>
                <w:szCs w:val="20"/>
                <w:lang w:eastAsia="fr-FR"/>
              </w:rPr>
            </w:pPr>
            <w:r w:rsidRPr="00176B8B">
              <w:rPr>
                <w:rFonts w:ascii="Calibri" w:eastAsia="Times New Roman" w:hAnsi="Calibri" w:cs="Calibri"/>
                <w:b/>
                <w:bCs/>
                <w:color w:val="0000FF"/>
                <w:sz w:val="20"/>
                <w:szCs w:val="20"/>
                <w:lang w:eastAsia="fr-FR"/>
              </w:rPr>
              <w:t>TOTAL</w:t>
            </w:r>
          </w:p>
        </w:tc>
        <w:tc>
          <w:tcPr>
            <w:tcW w:w="851" w:type="dxa"/>
            <w:tcBorders>
              <w:top w:val="nil"/>
              <w:left w:val="nil"/>
              <w:bottom w:val="single" w:sz="8" w:space="0" w:color="auto"/>
              <w:right w:val="single" w:sz="4" w:space="0" w:color="auto"/>
            </w:tcBorders>
            <w:noWrap/>
            <w:vAlign w:val="bottom"/>
            <w:hideMark/>
          </w:tcPr>
          <w:p w14:paraId="7116A1A0"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noWrap/>
            <w:vAlign w:val="bottom"/>
            <w:hideMark/>
          </w:tcPr>
          <w:p w14:paraId="0C435AEF"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0F043435"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73,8</w:t>
            </w:r>
          </w:p>
        </w:tc>
        <w:tc>
          <w:tcPr>
            <w:tcW w:w="708" w:type="dxa"/>
            <w:tcBorders>
              <w:top w:val="nil"/>
              <w:left w:val="nil"/>
              <w:bottom w:val="single" w:sz="8" w:space="0" w:color="auto"/>
              <w:right w:val="single" w:sz="4" w:space="0" w:color="auto"/>
            </w:tcBorders>
            <w:noWrap/>
            <w:vAlign w:val="bottom"/>
            <w:hideMark/>
          </w:tcPr>
          <w:p w14:paraId="2F537D44"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66319</w:t>
            </w:r>
          </w:p>
        </w:tc>
        <w:tc>
          <w:tcPr>
            <w:tcW w:w="993" w:type="dxa"/>
            <w:tcBorders>
              <w:top w:val="nil"/>
              <w:left w:val="nil"/>
              <w:bottom w:val="single" w:sz="8" w:space="0" w:color="auto"/>
              <w:right w:val="single" w:sz="4" w:space="0" w:color="auto"/>
            </w:tcBorders>
            <w:noWrap/>
            <w:vAlign w:val="bottom"/>
            <w:hideMark/>
          </w:tcPr>
          <w:p w14:paraId="30F97365"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noWrap/>
            <w:vAlign w:val="bottom"/>
            <w:hideMark/>
          </w:tcPr>
          <w:p w14:paraId="6CCCAD6D"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54480</w:t>
            </w:r>
          </w:p>
        </w:tc>
        <w:tc>
          <w:tcPr>
            <w:tcW w:w="1276" w:type="dxa"/>
            <w:tcBorders>
              <w:top w:val="nil"/>
              <w:left w:val="nil"/>
              <w:bottom w:val="single" w:sz="8" w:space="0" w:color="auto"/>
              <w:right w:val="single" w:sz="4" w:space="0" w:color="auto"/>
            </w:tcBorders>
            <w:shd w:val="clear" w:color="000000" w:fill="C6E0B4"/>
            <w:noWrap/>
            <w:vAlign w:val="bottom"/>
            <w:hideMark/>
          </w:tcPr>
          <w:p w14:paraId="0326103C"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82,1</w:t>
            </w:r>
          </w:p>
        </w:tc>
        <w:tc>
          <w:tcPr>
            <w:tcW w:w="708" w:type="dxa"/>
            <w:tcBorders>
              <w:top w:val="nil"/>
              <w:left w:val="nil"/>
              <w:bottom w:val="single" w:sz="8" w:space="0" w:color="auto"/>
              <w:right w:val="single" w:sz="4" w:space="0" w:color="auto"/>
            </w:tcBorders>
            <w:noWrap/>
            <w:vAlign w:val="bottom"/>
            <w:hideMark/>
          </w:tcPr>
          <w:p w14:paraId="664974FB"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noWrap/>
            <w:vAlign w:val="bottom"/>
            <w:hideMark/>
          </w:tcPr>
          <w:p w14:paraId="2B19C151"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12492</w:t>
            </w:r>
          </w:p>
        </w:tc>
        <w:tc>
          <w:tcPr>
            <w:tcW w:w="708" w:type="dxa"/>
            <w:tcBorders>
              <w:top w:val="nil"/>
              <w:left w:val="nil"/>
              <w:bottom w:val="single" w:sz="8" w:space="0" w:color="auto"/>
              <w:right w:val="single" w:sz="4" w:space="0" w:color="auto"/>
            </w:tcBorders>
            <w:shd w:val="clear" w:color="000000" w:fill="C6E0B4"/>
            <w:noWrap/>
            <w:vAlign w:val="bottom"/>
            <w:hideMark/>
          </w:tcPr>
          <w:p w14:paraId="1619FBC6"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7,5</w:t>
            </w:r>
          </w:p>
        </w:tc>
        <w:tc>
          <w:tcPr>
            <w:tcW w:w="1134" w:type="dxa"/>
            <w:tcBorders>
              <w:top w:val="nil"/>
              <w:left w:val="nil"/>
              <w:bottom w:val="single" w:sz="8" w:space="0" w:color="auto"/>
              <w:right w:val="single" w:sz="8" w:space="0" w:color="auto"/>
            </w:tcBorders>
            <w:shd w:val="clear" w:color="000000" w:fill="C6E0B4"/>
            <w:noWrap/>
            <w:vAlign w:val="bottom"/>
            <w:hideMark/>
          </w:tcPr>
          <w:p w14:paraId="7DDC8902" w14:textId="77777777" w:rsidR="00176B8B" w:rsidRPr="00176B8B" w:rsidRDefault="00176B8B" w:rsidP="00176B8B">
            <w:pPr>
              <w:spacing w:after="0" w:line="240" w:lineRule="auto"/>
              <w:rPr>
                <w:rFonts w:ascii="Calibri" w:eastAsia="Times New Roman" w:hAnsi="Calibri" w:cs="Calibri"/>
                <w:color w:val="000000"/>
                <w:lang w:eastAsia="fr-FR"/>
              </w:rPr>
            </w:pPr>
            <w:r w:rsidRPr="00176B8B">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2" w:name="_Toc190443705"/>
      <w:r>
        <w:t>2024 (données 2023)</w:t>
      </w:r>
      <w:bookmarkEnd w:id="12"/>
    </w:p>
    <w:tbl>
      <w:tblPr>
        <w:tblW w:w="12726"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288"/>
        <w:gridCol w:w="698"/>
        <w:gridCol w:w="1021"/>
        <w:gridCol w:w="760"/>
        <w:gridCol w:w="1043"/>
      </w:tblGrid>
      <w:tr w:rsidR="00042E61" w:rsidRPr="00042E61" w14:paraId="1C056EAC" w14:textId="77777777" w:rsidTr="00042E61">
        <w:trPr>
          <w:trHeight w:val="300"/>
        </w:trPr>
        <w:tc>
          <w:tcPr>
            <w:tcW w:w="2320" w:type="dxa"/>
            <w:tcBorders>
              <w:top w:val="single" w:sz="8" w:space="0" w:color="auto"/>
              <w:left w:val="single" w:sz="8" w:space="0" w:color="auto"/>
              <w:bottom w:val="single" w:sz="4" w:space="0" w:color="auto"/>
              <w:right w:val="single" w:sz="4" w:space="0" w:color="auto"/>
            </w:tcBorders>
            <w:noWrap/>
            <w:vAlign w:val="bottom"/>
            <w:hideMark/>
          </w:tcPr>
          <w:p w14:paraId="053AB79B"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noWrap/>
            <w:vAlign w:val="bottom"/>
            <w:hideMark/>
          </w:tcPr>
          <w:p w14:paraId="38A27167"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noWrap/>
            <w:vAlign w:val="bottom"/>
            <w:hideMark/>
          </w:tcPr>
          <w:p w14:paraId="4AE549D2"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594DC91E"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%age prêt</w:t>
            </w:r>
          </w:p>
        </w:tc>
        <w:tc>
          <w:tcPr>
            <w:tcW w:w="920" w:type="dxa"/>
            <w:tcBorders>
              <w:top w:val="single" w:sz="8" w:space="0" w:color="auto"/>
              <w:left w:val="nil"/>
              <w:bottom w:val="single" w:sz="4" w:space="0" w:color="auto"/>
              <w:right w:val="single" w:sz="4" w:space="0" w:color="auto"/>
            </w:tcBorders>
            <w:noWrap/>
            <w:vAlign w:val="bottom"/>
            <w:hideMark/>
          </w:tcPr>
          <w:p w14:paraId="182956D9"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docs - 5 ans</w:t>
            </w:r>
          </w:p>
        </w:tc>
        <w:tc>
          <w:tcPr>
            <w:tcW w:w="780" w:type="dxa"/>
            <w:tcBorders>
              <w:top w:val="single" w:sz="8" w:space="0" w:color="auto"/>
              <w:left w:val="nil"/>
              <w:bottom w:val="single" w:sz="4" w:space="0" w:color="auto"/>
              <w:right w:val="single" w:sz="4" w:space="0" w:color="auto"/>
            </w:tcBorders>
            <w:noWrap/>
            <w:vAlign w:val="bottom"/>
            <w:hideMark/>
          </w:tcPr>
          <w:p w14:paraId="04F5793C"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%age - 5 ans</w:t>
            </w:r>
          </w:p>
        </w:tc>
        <w:tc>
          <w:tcPr>
            <w:tcW w:w="960" w:type="dxa"/>
            <w:tcBorders>
              <w:top w:val="single" w:sz="8" w:space="0" w:color="auto"/>
              <w:left w:val="nil"/>
              <w:bottom w:val="single" w:sz="4" w:space="0" w:color="auto"/>
              <w:right w:val="single" w:sz="4" w:space="0" w:color="auto"/>
            </w:tcBorders>
            <w:noWrap/>
            <w:vAlign w:val="bottom"/>
            <w:hideMark/>
          </w:tcPr>
          <w:p w14:paraId="5838A154"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prêts - 5 ans</w:t>
            </w:r>
          </w:p>
        </w:tc>
        <w:tc>
          <w:tcPr>
            <w:tcW w:w="1288" w:type="dxa"/>
            <w:tcBorders>
              <w:top w:val="single" w:sz="8" w:space="0" w:color="auto"/>
              <w:left w:val="nil"/>
              <w:bottom w:val="single" w:sz="4" w:space="0" w:color="auto"/>
              <w:right w:val="single" w:sz="4" w:space="0" w:color="auto"/>
            </w:tcBorders>
            <w:shd w:val="clear" w:color="000000" w:fill="E2EFDA"/>
            <w:noWrap/>
            <w:vAlign w:val="bottom"/>
            <w:hideMark/>
          </w:tcPr>
          <w:p w14:paraId="0F91E5A4"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%age - 5 ans en prêt</w:t>
            </w:r>
          </w:p>
        </w:tc>
        <w:tc>
          <w:tcPr>
            <w:tcW w:w="414" w:type="dxa"/>
            <w:tcBorders>
              <w:top w:val="single" w:sz="8" w:space="0" w:color="auto"/>
              <w:left w:val="nil"/>
              <w:bottom w:val="single" w:sz="4" w:space="0" w:color="auto"/>
              <w:right w:val="single" w:sz="4" w:space="0" w:color="auto"/>
            </w:tcBorders>
            <w:noWrap/>
            <w:vAlign w:val="bottom"/>
            <w:hideMark/>
          </w:tcPr>
          <w:p w14:paraId="6B237B0C"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acq° 2023</w:t>
            </w:r>
          </w:p>
        </w:tc>
        <w:tc>
          <w:tcPr>
            <w:tcW w:w="1021" w:type="dxa"/>
            <w:tcBorders>
              <w:top w:val="single" w:sz="8" w:space="0" w:color="auto"/>
              <w:left w:val="nil"/>
              <w:bottom w:val="single" w:sz="4" w:space="0" w:color="auto"/>
              <w:right w:val="single" w:sz="4" w:space="0" w:color="auto"/>
            </w:tcBorders>
            <w:noWrap/>
            <w:vAlign w:val="bottom"/>
            <w:hideMark/>
          </w:tcPr>
          <w:p w14:paraId="4B347D96"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acq°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37C2B1A5"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4325CBBA"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âge théorique</w:t>
            </w:r>
          </w:p>
        </w:tc>
      </w:tr>
      <w:tr w:rsidR="00042E61" w:rsidRPr="00042E61" w14:paraId="430773E1" w14:textId="77777777" w:rsidTr="00042E61">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177376A2"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SF adultes</w:t>
            </w:r>
          </w:p>
        </w:tc>
        <w:tc>
          <w:tcPr>
            <w:tcW w:w="960" w:type="dxa"/>
            <w:tcBorders>
              <w:top w:val="nil"/>
              <w:left w:val="nil"/>
              <w:bottom w:val="single" w:sz="4" w:space="0" w:color="auto"/>
              <w:right w:val="single" w:sz="4" w:space="0" w:color="auto"/>
            </w:tcBorders>
            <w:noWrap/>
            <w:vAlign w:val="bottom"/>
            <w:hideMark/>
          </w:tcPr>
          <w:p w14:paraId="439AD687"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3470</w:t>
            </w:r>
          </w:p>
        </w:tc>
        <w:tc>
          <w:tcPr>
            <w:tcW w:w="960" w:type="dxa"/>
            <w:tcBorders>
              <w:top w:val="nil"/>
              <w:left w:val="nil"/>
              <w:bottom w:val="single" w:sz="4" w:space="0" w:color="auto"/>
              <w:right w:val="single" w:sz="4" w:space="0" w:color="auto"/>
            </w:tcBorders>
            <w:noWrap/>
            <w:vAlign w:val="bottom"/>
            <w:hideMark/>
          </w:tcPr>
          <w:p w14:paraId="2624E34B"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2752</w:t>
            </w:r>
          </w:p>
        </w:tc>
        <w:tc>
          <w:tcPr>
            <w:tcW w:w="1300" w:type="dxa"/>
            <w:tcBorders>
              <w:top w:val="nil"/>
              <w:left w:val="nil"/>
              <w:bottom w:val="single" w:sz="4" w:space="0" w:color="auto"/>
              <w:right w:val="single" w:sz="4" w:space="0" w:color="auto"/>
            </w:tcBorders>
            <w:shd w:val="clear" w:color="000000" w:fill="E2EFDA"/>
            <w:noWrap/>
            <w:vAlign w:val="bottom"/>
            <w:hideMark/>
          </w:tcPr>
          <w:p w14:paraId="70307D73"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79,3</w:t>
            </w:r>
          </w:p>
        </w:tc>
        <w:tc>
          <w:tcPr>
            <w:tcW w:w="920" w:type="dxa"/>
            <w:tcBorders>
              <w:top w:val="nil"/>
              <w:left w:val="nil"/>
              <w:bottom w:val="single" w:sz="4" w:space="0" w:color="auto"/>
              <w:right w:val="single" w:sz="4" w:space="0" w:color="auto"/>
            </w:tcBorders>
            <w:noWrap/>
            <w:vAlign w:val="bottom"/>
            <w:hideMark/>
          </w:tcPr>
          <w:p w14:paraId="0F499061"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1252</w:t>
            </w:r>
          </w:p>
        </w:tc>
        <w:tc>
          <w:tcPr>
            <w:tcW w:w="780" w:type="dxa"/>
            <w:tcBorders>
              <w:top w:val="nil"/>
              <w:left w:val="nil"/>
              <w:bottom w:val="single" w:sz="4" w:space="0" w:color="auto"/>
              <w:right w:val="single" w:sz="4" w:space="0" w:color="auto"/>
            </w:tcBorders>
            <w:noWrap/>
            <w:vAlign w:val="bottom"/>
            <w:hideMark/>
          </w:tcPr>
          <w:p w14:paraId="1434866C"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36,1</w:t>
            </w:r>
          </w:p>
        </w:tc>
        <w:tc>
          <w:tcPr>
            <w:tcW w:w="960" w:type="dxa"/>
            <w:tcBorders>
              <w:top w:val="nil"/>
              <w:left w:val="nil"/>
              <w:bottom w:val="single" w:sz="4" w:space="0" w:color="auto"/>
              <w:right w:val="single" w:sz="4" w:space="0" w:color="auto"/>
            </w:tcBorders>
            <w:noWrap/>
            <w:vAlign w:val="bottom"/>
            <w:hideMark/>
          </w:tcPr>
          <w:p w14:paraId="3E15A504"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1085</w:t>
            </w:r>
          </w:p>
        </w:tc>
        <w:tc>
          <w:tcPr>
            <w:tcW w:w="1288" w:type="dxa"/>
            <w:tcBorders>
              <w:top w:val="nil"/>
              <w:left w:val="nil"/>
              <w:bottom w:val="single" w:sz="4" w:space="0" w:color="auto"/>
              <w:right w:val="single" w:sz="4" w:space="0" w:color="auto"/>
            </w:tcBorders>
            <w:shd w:val="clear" w:color="000000" w:fill="E2EFDA"/>
            <w:noWrap/>
            <w:vAlign w:val="bottom"/>
            <w:hideMark/>
          </w:tcPr>
          <w:p w14:paraId="5F6864BD"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86,7</w:t>
            </w:r>
          </w:p>
        </w:tc>
        <w:tc>
          <w:tcPr>
            <w:tcW w:w="414" w:type="dxa"/>
            <w:tcBorders>
              <w:top w:val="nil"/>
              <w:left w:val="nil"/>
              <w:bottom w:val="single" w:sz="4" w:space="0" w:color="auto"/>
              <w:right w:val="single" w:sz="4" w:space="0" w:color="auto"/>
            </w:tcBorders>
            <w:noWrap/>
            <w:vAlign w:val="bottom"/>
            <w:hideMark/>
          </w:tcPr>
          <w:p w14:paraId="42EDA224"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199</w:t>
            </w:r>
          </w:p>
        </w:tc>
        <w:tc>
          <w:tcPr>
            <w:tcW w:w="1021" w:type="dxa"/>
            <w:tcBorders>
              <w:top w:val="nil"/>
              <w:left w:val="nil"/>
              <w:bottom w:val="single" w:sz="4" w:space="0" w:color="auto"/>
              <w:right w:val="single" w:sz="4" w:space="0" w:color="auto"/>
            </w:tcBorders>
            <w:noWrap/>
            <w:vAlign w:val="bottom"/>
            <w:hideMark/>
          </w:tcPr>
          <w:p w14:paraId="3172261B"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223</w:t>
            </w:r>
          </w:p>
        </w:tc>
        <w:tc>
          <w:tcPr>
            <w:tcW w:w="760" w:type="dxa"/>
            <w:tcBorders>
              <w:top w:val="nil"/>
              <w:left w:val="nil"/>
              <w:bottom w:val="single" w:sz="4" w:space="0" w:color="auto"/>
              <w:right w:val="single" w:sz="4" w:space="0" w:color="auto"/>
            </w:tcBorders>
            <w:shd w:val="clear" w:color="000000" w:fill="E2EFDA"/>
            <w:noWrap/>
            <w:vAlign w:val="bottom"/>
            <w:hideMark/>
          </w:tcPr>
          <w:p w14:paraId="032CAA49"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6,5</w:t>
            </w:r>
          </w:p>
        </w:tc>
        <w:tc>
          <w:tcPr>
            <w:tcW w:w="1043" w:type="dxa"/>
            <w:tcBorders>
              <w:top w:val="nil"/>
              <w:left w:val="nil"/>
              <w:bottom w:val="single" w:sz="4" w:space="0" w:color="auto"/>
              <w:right w:val="single" w:sz="8" w:space="0" w:color="auto"/>
            </w:tcBorders>
            <w:shd w:val="clear" w:color="000000" w:fill="E2EFDA"/>
            <w:noWrap/>
            <w:vAlign w:val="bottom"/>
            <w:hideMark/>
          </w:tcPr>
          <w:p w14:paraId="638D6924"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7,8</w:t>
            </w:r>
          </w:p>
        </w:tc>
      </w:tr>
      <w:tr w:rsidR="00042E61" w:rsidRPr="00042E61" w14:paraId="3576C0FC" w14:textId="77777777" w:rsidTr="00042E61">
        <w:trPr>
          <w:trHeight w:val="300"/>
        </w:trPr>
        <w:tc>
          <w:tcPr>
            <w:tcW w:w="2320" w:type="dxa"/>
            <w:tcBorders>
              <w:top w:val="nil"/>
              <w:left w:val="single" w:sz="8" w:space="0" w:color="auto"/>
              <w:bottom w:val="single" w:sz="4" w:space="0" w:color="auto"/>
              <w:right w:val="single" w:sz="4" w:space="0" w:color="auto"/>
            </w:tcBorders>
            <w:noWrap/>
            <w:vAlign w:val="bottom"/>
            <w:hideMark/>
          </w:tcPr>
          <w:p w14:paraId="0FF55B81" w14:textId="77777777" w:rsidR="00042E61" w:rsidRPr="00042E61" w:rsidRDefault="00042E61" w:rsidP="00042E61">
            <w:pPr>
              <w:spacing w:after="0" w:line="240" w:lineRule="auto"/>
              <w:rPr>
                <w:rFonts w:ascii="Arial" w:eastAsia="Times New Roman" w:hAnsi="Arial" w:cs="Arial"/>
                <w:b/>
                <w:bCs/>
                <w:color w:val="0000FF"/>
                <w:sz w:val="20"/>
                <w:szCs w:val="20"/>
                <w:lang w:eastAsia="fr-FR"/>
              </w:rPr>
            </w:pPr>
            <w:r w:rsidRPr="00042E61">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noWrap/>
            <w:vAlign w:val="bottom"/>
            <w:hideMark/>
          </w:tcPr>
          <w:p w14:paraId="52C41265"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68687</w:t>
            </w:r>
          </w:p>
        </w:tc>
        <w:tc>
          <w:tcPr>
            <w:tcW w:w="960" w:type="dxa"/>
            <w:tcBorders>
              <w:top w:val="nil"/>
              <w:left w:val="nil"/>
              <w:bottom w:val="single" w:sz="4" w:space="0" w:color="auto"/>
              <w:right w:val="single" w:sz="4" w:space="0" w:color="auto"/>
            </w:tcBorders>
            <w:noWrap/>
            <w:vAlign w:val="bottom"/>
            <w:hideMark/>
          </w:tcPr>
          <w:p w14:paraId="47027ED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50440</w:t>
            </w:r>
          </w:p>
        </w:tc>
        <w:tc>
          <w:tcPr>
            <w:tcW w:w="1300" w:type="dxa"/>
            <w:tcBorders>
              <w:top w:val="nil"/>
              <w:left w:val="nil"/>
              <w:bottom w:val="single" w:sz="4" w:space="0" w:color="auto"/>
              <w:right w:val="single" w:sz="4" w:space="0" w:color="auto"/>
            </w:tcBorders>
            <w:shd w:val="clear" w:color="000000" w:fill="E2EFDA"/>
            <w:noWrap/>
            <w:vAlign w:val="bottom"/>
            <w:hideMark/>
          </w:tcPr>
          <w:p w14:paraId="45C7CE66"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73,4</w:t>
            </w:r>
          </w:p>
        </w:tc>
        <w:tc>
          <w:tcPr>
            <w:tcW w:w="920" w:type="dxa"/>
            <w:tcBorders>
              <w:top w:val="nil"/>
              <w:left w:val="nil"/>
              <w:bottom w:val="single" w:sz="4" w:space="0" w:color="auto"/>
              <w:right w:val="single" w:sz="4" w:space="0" w:color="auto"/>
            </w:tcBorders>
            <w:noWrap/>
            <w:vAlign w:val="bottom"/>
            <w:hideMark/>
          </w:tcPr>
          <w:p w14:paraId="1D45FAE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24945</w:t>
            </w:r>
          </w:p>
        </w:tc>
        <w:tc>
          <w:tcPr>
            <w:tcW w:w="780" w:type="dxa"/>
            <w:tcBorders>
              <w:top w:val="nil"/>
              <w:left w:val="nil"/>
              <w:bottom w:val="single" w:sz="4" w:space="0" w:color="auto"/>
              <w:right w:val="single" w:sz="4" w:space="0" w:color="auto"/>
            </w:tcBorders>
            <w:noWrap/>
            <w:vAlign w:val="bottom"/>
            <w:hideMark/>
          </w:tcPr>
          <w:p w14:paraId="20B7D76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36,3</w:t>
            </w:r>
          </w:p>
        </w:tc>
        <w:tc>
          <w:tcPr>
            <w:tcW w:w="960" w:type="dxa"/>
            <w:tcBorders>
              <w:top w:val="nil"/>
              <w:left w:val="nil"/>
              <w:bottom w:val="single" w:sz="4" w:space="0" w:color="auto"/>
              <w:right w:val="single" w:sz="4" w:space="0" w:color="auto"/>
            </w:tcBorders>
            <w:noWrap/>
            <w:vAlign w:val="bottom"/>
            <w:hideMark/>
          </w:tcPr>
          <w:p w14:paraId="47CE34B9"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20284</w:t>
            </w:r>
          </w:p>
        </w:tc>
        <w:tc>
          <w:tcPr>
            <w:tcW w:w="1288" w:type="dxa"/>
            <w:tcBorders>
              <w:top w:val="nil"/>
              <w:left w:val="nil"/>
              <w:bottom w:val="single" w:sz="4" w:space="0" w:color="auto"/>
              <w:right w:val="single" w:sz="4" w:space="0" w:color="auto"/>
            </w:tcBorders>
            <w:shd w:val="clear" w:color="000000" w:fill="E2EFDA"/>
            <w:noWrap/>
            <w:vAlign w:val="bottom"/>
            <w:hideMark/>
          </w:tcPr>
          <w:p w14:paraId="4CC9758C"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81,3</w:t>
            </w:r>
          </w:p>
        </w:tc>
        <w:tc>
          <w:tcPr>
            <w:tcW w:w="414" w:type="dxa"/>
            <w:tcBorders>
              <w:top w:val="nil"/>
              <w:left w:val="nil"/>
              <w:bottom w:val="single" w:sz="4" w:space="0" w:color="auto"/>
              <w:right w:val="single" w:sz="4" w:space="0" w:color="auto"/>
            </w:tcBorders>
            <w:noWrap/>
            <w:vAlign w:val="bottom"/>
            <w:hideMark/>
          </w:tcPr>
          <w:p w14:paraId="67AF5B9E"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4249</w:t>
            </w:r>
          </w:p>
        </w:tc>
        <w:tc>
          <w:tcPr>
            <w:tcW w:w="1021" w:type="dxa"/>
            <w:tcBorders>
              <w:top w:val="nil"/>
              <w:left w:val="nil"/>
              <w:bottom w:val="single" w:sz="4" w:space="0" w:color="auto"/>
              <w:right w:val="single" w:sz="4" w:space="0" w:color="auto"/>
            </w:tcBorders>
            <w:noWrap/>
            <w:vAlign w:val="bottom"/>
            <w:hideMark/>
          </w:tcPr>
          <w:p w14:paraId="4D5A9B7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4498</w:t>
            </w:r>
          </w:p>
        </w:tc>
        <w:tc>
          <w:tcPr>
            <w:tcW w:w="760" w:type="dxa"/>
            <w:tcBorders>
              <w:top w:val="nil"/>
              <w:left w:val="nil"/>
              <w:bottom w:val="single" w:sz="4" w:space="0" w:color="auto"/>
              <w:right w:val="single" w:sz="4" w:space="0" w:color="auto"/>
            </w:tcBorders>
            <w:shd w:val="clear" w:color="000000" w:fill="E2EFDA"/>
            <w:noWrap/>
            <w:vAlign w:val="bottom"/>
            <w:hideMark/>
          </w:tcPr>
          <w:p w14:paraId="280BAAC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6,7</w:t>
            </w:r>
          </w:p>
        </w:tc>
        <w:tc>
          <w:tcPr>
            <w:tcW w:w="1043" w:type="dxa"/>
            <w:tcBorders>
              <w:top w:val="nil"/>
              <w:left w:val="nil"/>
              <w:bottom w:val="single" w:sz="4" w:space="0" w:color="auto"/>
              <w:right w:val="single" w:sz="8" w:space="0" w:color="auto"/>
            </w:tcBorders>
            <w:shd w:val="clear" w:color="000000" w:fill="E2EFDA"/>
            <w:noWrap/>
            <w:vAlign w:val="bottom"/>
            <w:hideMark/>
          </w:tcPr>
          <w:p w14:paraId="62A3801D"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7,6</w:t>
            </w:r>
          </w:p>
        </w:tc>
      </w:tr>
      <w:tr w:rsidR="00042E61" w:rsidRPr="00042E61" w14:paraId="6178A22A" w14:textId="77777777" w:rsidTr="00042E61">
        <w:trPr>
          <w:trHeight w:val="300"/>
        </w:trPr>
        <w:tc>
          <w:tcPr>
            <w:tcW w:w="2320" w:type="dxa"/>
            <w:tcBorders>
              <w:top w:val="nil"/>
              <w:left w:val="single" w:sz="8" w:space="0" w:color="auto"/>
              <w:bottom w:val="single" w:sz="4" w:space="0" w:color="auto"/>
              <w:right w:val="single" w:sz="4" w:space="0" w:color="auto"/>
            </w:tcBorders>
            <w:noWrap/>
            <w:vAlign w:val="bottom"/>
            <w:hideMark/>
          </w:tcPr>
          <w:p w14:paraId="27D66555" w14:textId="77777777" w:rsidR="00042E61" w:rsidRPr="00042E61" w:rsidRDefault="00042E61" w:rsidP="00042E61">
            <w:pPr>
              <w:spacing w:after="0" w:line="240" w:lineRule="auto"/>
              <w:rPr>
                <w:rFonts w:ascii="Arial" w:eastAsia="Times New Roman" w:hAnsi="Arial" w:cs="Arial"/>
                <w:b/>
                <w:bCs/>
                <w:color w:val="0000FF"/>
                <w:sz w:val="20"/>
                <w:szCs w:val="20"/>
                <w:lang w:eastAsia="fr-FR"/>
              </w:rPr>
            </w:pPr>
            <w:r w:rsidRPr="00042E61">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noWrap/>
            <w:vAlign w:val="bottom"/>
            <w:hideMark/>
          </w:tcPr>
          <w:p w14:paraId="66FA22ED"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noWrap/>
            <w:vAlign w:val="bottom"/>
            <w:hideMark/>
          </w:tcPr>
          <w:p w14:paraId="251ACF04"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10849C0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noWrap/>
            <w:vAlign w:val="bottom"/>
            <w:hideMark/>
          </w:tcPr>
          <w:p w14:paraId="4A628EA3"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noWrap/>
            <w:vAlign w:val="bottom"/>
            <w:hideMark/>
          </w:tcPr>
          <w:p w14:paraId="4206D1BD"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noWrap/>
            <w:vAlign w:val="bottom"/>
            <w:hideMark/>
          </w:tcPr>
          <w:p w14:paraId="1AA9274A"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52458</w:t>
            </w:r>
          </w:p>
        </w:tc>
        <w:tc>
          <w:tcPr>
            <w:tcW w:w="1288" w:type="dxa"/>
            <w:tcBorders>
              <w:top w:val="nil"/>
              <w:left w:val="nil"/>
              <w:bottom w:val="single" w:sz="4" w:space="0" w:color="auto"/>
              <w:right w:val="single" w:sz="4" w:space="0" w:color="auto"/>
            </w:tcBorders>
            <w:shd w:val="clear" w:color="000000" w:fill="E2EFDA"/>
            <w:noWrap/>
            <w:vAlign w:val="bottom"/>
            <w:hideMark/>
          </w:tcPr>
          <w:p w14:paraId="6654FD6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83,2</w:t>
            </w:r>
          </w:p>
        </w:tc>
        <w:tc>
          <w:tcPr>
            <w:tcW w:w="414" w:type="dxa"/>
            <w:tcBorders>
              <w:top w:val="nil"/>
              <w:left w:val="nil"/>
              <w:bottom w:val="single" w:sz="4" w:space="0" w:color="auto"/>
              <w:right w:val="single" w:sz="4" w:space="0" w:color="auto"/>
            </w:tcBorders>
            <w:noWrap/>
            <w:vAlign w:val="bottom"/>
            <w:hideMark/>
          </w:tcPr>
          <w:p w14:paraId="65892E41"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noWrap/>
            <w:vAlign w:val="bottom"/>
            <w:hideMark/>
          </w:tcPr>
          <w:p w14:paraId="5AC0606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213F6C1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1922A74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w:t>
            </w:r>
          </w:p>
        </w:tc>
      </w:tr>
      <w:tr w:rsidR="00042E61" w:rsidRPr="00042E61" w14:paraId="00FE54F6" w14:textId="77777777" w:rsidTr="00042E61">
        <w:trPr>
          <w:trHeight w:val="315"/>
        </w:trPr>
        <w:tc>
          <w:tcPr>
            <w:tcW w:w="2320" w:type="dxa"/>
            <w:tcBorders>
              <w:top w:val="nil"/>
              <w:left w:val="single" w:sz="8" w:space="0" w:color="auto"/>
              <w:bottom w:val="single" w:sz="8" w:space="0" w:color="auto"/>
              <w:right w:val="single" w:sz="4" w:space="0" w:color="auto"/>
            </w:tcBorders>
            <w:noWrap/>
            <w:vAlign w:val="bottom"/>
            <w:hideMark/>
          </w:tcPr>
          <w:p w14:paraId="6BF20EC1" w14:textId="77777777" w:rsidR="00042E61" w:rsidRPr="00042E61" w:rsidRDefault="00042E61" w:rsidP="00042E61">
            <w:pPr>
              <w:spacing w:after="0" w:line="240" w:lineRule="auto"/>
              <w:rPr>
                <w:rFonts w:ascii="Arial" w:eastAsia="Times New Roman" w:hAnsi="Arial" w:cs="Arial"/>
                <w:b/>
                <w:bCs/>
                <w:color w:val="0000FF"/>
                <w:sz w:val="20"/>
                <w:szCs w:val="20"/>
                <w:lang w:eastAsia="fr-FR"/>
              </w:rPr>
            </w:pPr>
            <w:r w:rsidRPr="00042E61">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noWrap/>
            <w:vAlign w:val="bottom"/>
            <w:hideMark/>
          </w:tcPr>
          <w:p w14:paraId="402CF8BA"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noWrap/>
            <w:vAlign w:val="bottom"/>
            <w:hideMark/>
          </w:tcPr>
          <w:p w14:paraId="184EBFB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201E1957"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noWrap/>
            <w:vAlign w:val="bottom"/>
            <w:hideMark/>
          </w:tcPr>
          <w:p w14:paraId="3DBEDF1F"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noWrap/>
            <w:vAlign w:val="bottom"/>
            <w:hideMark/>
          </w:tcPr>
          <w:p w14:paraId="5E826ACC"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noWrap/>
            <w:vAlign w:val="bottom"/>
            <w:hideMark/>
          </w:tcPr>
          <w:p w14:paraId="4C47F956"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56890</w:t>
            </w:r>
          </w:p>
        </w:tc>
        <w:tc>
          <w:tcPr>
            <w:tcW w:w="1288" w:type="dxa"/>
            <w:tcBorders>
              <w:top w:val="nil"/>
              <w:left w:val="nil"/>
              <w:bottom w:val="single" w:sz="8" w:space="0" w:color="auto"/>
              <w:right w:val="single" w:sz="4" w:space="0" w:color="auto"/>
            </w:tcBorders>
            <w:shd w:val="clear" w:color="000000" w:fill="E2EFDA"/>
            <w:noWrap/>
            <w:vAlign w:val="bottom"/>
            <w:hideMark/>
          </w:tcPr>
          <w:p w14:paraId="0035414C"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82,5</w:t>
            </w:r>
          </w:p>
        </w:tc>
        <w:tc>
          <w:tcPr>
            <w:tcW w:w="414" w:type="dxa"/>
            <w:tcBorders>
              <w:top w:val="nil"/>
              <w:left w:val="nil"/>
              <w:bottom w:val="single" w:sz="8" w:space="0" w:color="auto"/>
              <w:right w:val="single" w:sz="4" w:space="0" w:color="auto"/>
            </w:tcBorders>
            <w:noWrap/>
            <w:vAlign w:val="bottom"/>
            <w:hideMark/>
          </w:tcPr>
          <w:p w14:paraId="1616A70D"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noWrap/>
            <w:vAlign w:val="bottom"/>
            <w:hideMark/>
          </w:tcPr>
          <w:p w14:paraId="7E13582A"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472A458A"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3BBA9BF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7,5</w:t>
            </w:r>
          </w:p>
        </w:tc>
      </w:tr>
    </w:tbl>
    <w:p w14:paraId="557A621D" w14:textId="3F927888" w:rsidR="004428AA" w:rsidRDefault="00042E61" w:rsidP="00042E61">
      <w:pPr>
        <w:pStyle w:val="Titre2"/>
      </w:pPr>
      <w:bookmarkStart w:id="13" w:name="_Toc190443706"/>
      <w:r>
        <w:t>2023 (données 2022)</w:t>
      </w:r>
      <w:bookmarkEnd w:id="13"/>
    </w:p>
    <w:tbl>
      <w:tblPr>
        <w:tblW w:w="13031" w:type="dxa"/>
        <w:tblCellMar>
          <w:left w:w="70" w:type="dxa"/>
          <w:right w:w="70" w:type="dxa"/>
        </w:tblCellMar>
        <w:tblLook w:val="04A0" w:firstRow="1" w:lastRow="0" w:firstColumn="1" w:lastColumn="0" w:noHBand="0" w:noVBand="1"/>
      </w:tblPr>
      <w:tblGrid>
        <w:gridCol w:w="2200"/>
        <w:gridCol w:w="1051"/>
        <w:gridCol w:w="992"/>
        <w:gridCol w:w="1276"/>
        <w:gridCol w:w="881"/>
        <w:gridCol w:w="820"/>
        <w:gridCol w:w="992"/>
        <w:gridCol w:w="1268"/>
        <w:gridCol w:w="716"/>
        <w:gridCol w:w="1021"/>
        <w:gridCol w:w="822"/>
        <w:gridCol w:w="1043"/>
      </w:tblGrid>
      <w:tr w:rsidR="00042E61" w:rsidRPr="00042E61" w14:paraId="05DB355C" w14:textId="77777777" w:rsidTr="00042E61">
        <w:trPr>
          <w:trHeight w:val="420"/>
        </w:trPr>
        <w:tc>
          <w:tcPr>
            <w:tcW w:w="2200" w:type="dxa"/>
            <w:tcBorders>
              <w:top w:val="single" w:sz="8" w:space="0" w:color="auto"/>
              <w:left w:val="single" w:sz="8" w:space="0" w:color="auto"/>
              <w:bottom w:val="single" w:sz="4" w:space="0" w:color="auto"/>
              <w:right w:val="single" w:sz="4" w:space="0" w:color="auto"/>
            </w:tcBorders>
            <w:noWrap/>
            <w:vAlign w:val="bottom"/>
            <w:hideMark/>
          </w:tcPr>
          <w:p w14:paraId="0857EB66"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Localisation origine</w:t>
            </w:r>
          </w:p>
        </w:tc>
        <w:tc>
          <w:tcPr>
            <w:tcW w:w="1051" w:type="dxa"/>
            <w:tcBorders>
              <w:top w:val="single" w:sz="8" w:space="0" w:color="auto"/>
              <w:left w:val="nil"/>
              <w:bottom w:val="single" w:sz="4" w:space="0" w:color="auto"/>
              <w:right w:val="single" w:sz="4" w:space="0" w:color="auto"/>
            </w:tcBorders>
            <w:noWrap/>
            <w:vAlign w:val="bottom"/>
            <w:hideMark/>
          </w:tcPr>
          <w:p w14:paraId="2FEE5E4E"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docs</w:t>
            </w:r>
          </w:p>
        </w:tc>
        <w:tc>
          <w:tcPr>
            <w:tcW w:w="992" w:type="dxa"/>
            <w:tcBorders>
              <w:top w:val="single" w:sz="8" w:space="0" w:color="auto"/>
              <w:left w:val="nil"/>
              <w:bottom w:val="single" w:sz="4" w:space="0" w:color="auto"/>
              <w:right w:val="single" w:sz="4" w:space="0" w:color="auto"/>
            </w:tcBorders>
            <w:noWrap/>
            <w:vAlign w:val="bottom"/>
            <w:hideMark/>
          </w:tcPr>
          <w:p w14:paraId="66A49D4A"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5433209C"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%age prêt</w:t>
            </w:r>
          </w:p>
        </w:tc>
        <w:tc>
          <w:tcPr>
            <w:tcW w:w="881" w:type="dxa"/>
            <w:tcBorders>
              <w:top w:val="single" w:sz="8" w:space="0" w:color="auto"/>
              <w:left w:val="nil"/>
              <w:bottom w:val="single" w:sz="4" w:space="0" w:color="auto"/>
              <w:right w:val="single" w:sz="4" w:space="0" w:color="auto"/>
            </w:tcBorders>
            <w:noWrap/>
            <w:vAlign w:val="bottom"/>
            <w:hideMark/>
          </w:tcPr>
          <w:p w14:paraId="4876DCC2"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docs - 5 ans</w:t>
            </w:r>
          </w:p>
        </w:tc>
        <w:tc>
          <w:tcPr>
            <w:tcW w:w="820" w:type="dxa"/>
            <w:tcBorders>
              <w:top w:val="single" w:sz="8" w:space="0" w:color="auto"/>
              <w:left w:val="nil"/>
              <w:bottom w:val="single" w:sz="4" w:space="0" w:color="auto"/>
              <w:right w:val="single" w:sz="4" w:space="0" w:color="auto"/>
            </w:tcBorders>
            <w:noWrap/>
            <w:vAlign w:val="bottom"/>
            <w:hideMark/>
          </w:tcPr>
          <w:p w14:paraId="12FFE163"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%age - 5 ans</w:t>
            </w:r>
          </w:p>
        </w:tc>
        <w:tc>
          <w:tcPr>
            <w:tcW w:w="992" w:type="dxa"/>
            <w:tcBorders>
              <w:top w:val="single" w:sz="8" w:space="0" w:color="auto"/>
              <w:left w:val="nil"/>
              <w:bottom w:val="single" w:sz="4" w:space="0" w:color="auto"/>
              <w:right w:val="single" w:sz="4" w:space="0" w:color="auto"/>
            </w:tcBorders>
            <w:noWrap/>
            <w:vAlign w:val="bottom"/>
            <w:hideMark/>
          </w:tcPr>
          <w:p w14:paraId="7D763D72"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nb prêts - 5 ans</w:t>
            </w:r>
          </w:p>
        </w:tc>
        <w:tc>
          <w:tcPr>
            <w:tcW w:w="1268" w:type="dxa"/>
            <w:tcBorders>
              <w:top w:val="single" w:sz="8" w:space="0" w:color="auto"/>
              <w:left w:val="nil"/>
              <w:bottom w:val="single" w:sz="4" w:space="0" w:color="auto"/>
              <w:right w:val="single" w:sz="4" w:space="0" w:color="auto"/>
            </w:tcBorders>
            <w:shd w:val="clear" w:color="000000" w:fill="E2EFDA"/>
            <w:noWrap/>
            <w:vAlign w:val="bottom"/>
            <w:hideMark/>
          </w:tcPr>
          <w:p w14:paraId="3C203E3E"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%age - 5 ans en prêt</w:t>
            </w:r>
          </w:p>
        </w:tc>
        <w:tc>
          <w:tcPr>
            <w:tcW w:w="716" w:type="dxa"/>
            <w:tcBorders>
              <w:top w:val="single" w:sz="8" w:space="0" w:color="auto"/>
              <w:left w:val="nil"/>
              <w:bottom w:val="single" w:sz="4" w:space="0" w:color="auto"/>
              <w:right w:val="single" w:sz="4" w:space="0" w:color="auto"/>
            </w:tcBorders>
            <w:noWrap/>
            <w:vAlign w:val="bottom"/>
            <w:hideMark/>
          </w:tcPr>
          <w:p w14:paraId="3C00A5DE"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acq° 2022</w:t>
            </w:r>
          </w:p>
        </w:tc>
        <w:tc>
          <w:tcPr>
            <w:tcW w:w="1021" w:type="dxa"/>
            <w:tcBorders>
              <w:top w:val="single" w:sz="8" w:space="0" w:color="auto"/>
              <w:left w:val="nil"/>
              <w:bottom w:val="single" w:sz="4" w:space="0" w:color="auto"/>
              <w:right w:val="single" w:sz="4" w:space="0" w:color="auto"/>
            </w:tcBorders>
            <w:noWrap/>
            <w:vAlign w:val="bottom"/>
            <w:hideMark/>
          </w:tcPr>
          <w:p w14:paraId="7FE80B37"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acq° annuelles</w:t>
            </w:r>
          </w:p>
        </w:tc>
        <w:tc>
          <w:tcPr>
            <w:tcW w:w="822" w:type="dxa"/>
            <w:tcBorders>
              <w:top w:val="single" w:sz="8" w:space="0" w:color="auto"/>
              <w:left w:val="nil"/>
              <w:bottom w:val="single" w:sz="4" w:space="0" w:color="auto"/>
              <w:right w:val="single" w:sz="4" w:space="0" w:color="auto"/>
            </w:tcBorders>
            <w:shd w:val="clear" w:color="000000" w:fill="E2EFDA"/>
            <w:noWrap/>
            <w:vAlign w:val="bottom"/>
            <w:hideMark/>
          </w:tcPr>
          <w:p w14:paraId="04032775"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âge réel</w:t>
            </w:r>
          </w:p>
        </w:tc>
        <w:tc>
          <w:tcPr>
            <w:tcW w:w="992" w:type="dxa"/>
            <w:tcBorders>
              <w:top w:val="single" w:sz="8" w:space="0" w:color="auto"/>
              <w:left w:val="nil"/>
              <w:bottom w:val="single" w:sz="4" w:space="0" w:color="auto"/>
              <w:right w:val="single" w:sz="8" w:space="0" w:color="auto"/>
            </w:tcBorders>
            <w:shd w:val="clear" w:color="000000" w:fill="E2EFDA"/>
            <w:noWrap/>
            <w:vAlign w:val="bottom"/>
            <w:hideMark/>
          </w:tcPr>
          <w:p w14:paraId="080D6B54" w14:textId="77777777" w:rsidR="00042E61" w:rsidRPr="00042E61" w:rsidRDefault="00042E61" w:rsidP="00042E61">
            <w:pPr>
              <w:spacing w:after="0" w:line="240" w:lineRule="auto"/>
              <w:rPr>
                <w:rFonts w:ascii="Calibri" w:eastAsia="Times New Roman" w:hAnsi="Calibri" w:cs="Calibri"/>
                <w:b/>
                <w:bCs/>
                <w:color w:val="000000"/>
                <w:lang w:eastAsia="fr-FR"/>
              </w:rPr>
            </w:pPr>
            <w:r w:rsidRPr="00042E61">
              <w:rPr>
                <w:rFonts w:ascii="Calibri" w:eastAsia="Times New Roman" w:hAnsi="Calibri" w:cs="Calibri"/>
                <w:b/>
                <w:bCs/>
                <w:color w:val="000000"/>
                <w:lang w:eastAsia="fr-FR"/>
              </w:rPr>
              <w:t>âge théorique</w:t>
            </w:r>
          </w:p>
        </w:tc>
      </w:tr>
      <w:tr w:rsidR="00042E61" w:rsidRPr="00042E61" w14:paraId="7E66249E" w14:textId="77777777" w:rsidTr="00042E61">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459AB49B"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SF adultes</w:t>
            </w:r>
          </w:p>
        </w:tc>
        <w:tc>
          <w:tcPr>
            <w:tcW w:w="1051" w:type="dxa"/>
            <w:tcBorders>
              <w:top w:val="nil"/>
              <w:left w:val="nil"/>
              <w:bottom w:val="single" w:sz="4" w:space="0" w:color="auto"/>
              <w:right w:val="single" w:sz="4" w:space="0" w:color="auto"/>
            </w:tcBorders>
            <w:noWrap/>
            <w:vAlign w:val="bottom"/>
            <w:hideMark/>
          </w:tcPr>
          <w:p w14:paraId="5B0F8243"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3649</w:t>
            </w:r>
          </w:p>
        </w:tc>
        <w:tc>
          <w:tcPr>
            <w:tcW w:w="992" w:type="dxa"/>
            <w:tcBorders>
              <w:top w:val="nil"/>
              <w:left w:val="nil"/>
              <w:bottom w:val="single" w:sz="4" w:space="0" w:color="auto"/>
              <w:right w:val="single" w:sz="4" w:space="0" w:color="auto"/>
            </w:tcBorders>
            <w:noWrap/>
            <w:vAlign w:val="bottom"/>
            <w:hideMark/>
          </w:tcPr>
          <w:p w14:paraId="7D052A04"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2991</w:t>
            </w:r>
          </w:p>
        </w:tc>
        <w:tc>
          <w:tcPr>
            <w:tcW w:w="1276" w:type="dxa"/>
            <w:tcBorders>
              <w:top w:val="nil"/>
              <w:left w:val="nil"/>
              <w:bottom w:val="single" w:sz="4" w:space="0" w:color="auto"/>
              <w:right w:val="single" w:sz="4" w:space="0" w:color="auto"/>
            </w:tcBorders>
            <w:shd w:val="clear" w:color="000000" w:fill="E2EFDA"/>
            <w:noWrap/>
            <w:vAlign w:val="bottom"/>
            <w:hideMark/>
          </w:tcPr>
          <w:p w14:paraId="4A29C7F3"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82,0</w:t>
            </w:r>
          </w:p>
        </w:tc>
        <w:tc>
          <w:tcPr>
            <w:tcW w:w="881" w:type="dxa"/>
            <w:tcBorders>
              <w:top w:val="nil"/>
              <w:left w:val="nil"/>
              <w:bottom w:val="single" w:sz="4" w:space="0" w:color="auto"/>
              <w:right w:val="single" w:sz="4" w:space="0" w:color="auto"/>
            </w:tcBorders>
            <w:noWrap/>
            <w:vAlign w:val="bottom"/>
            <w:hideMark/>
          </w:tcPr>
          <w:p w14:paraId="3FE88FB7"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1376</w:t>
            </w:r>
          </w:p>
        </w:tc>
        <w:tc>
          <w:tcPr>
            <w:tcW w:w="820" w:type="dxa"/>
            <w:tcBorders>
              <w:top w:val="nil"/>
              <w:left w:val="nil"/>
              <w:bottom w:val="single" w:sz="4" w:space="0" w:color="auto"/>
              <w:right w:val="single" w:sz="4" w:space="0" w:color="auto"/>
            </w:tcBorders>
            <w:noWrap/>
            <w:vAlign w:val="bottom"/>
            <w:hideMark/>
          </w:tcPr>
          <w:p w14:paraId="57DE4289"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37,7</w:t>
            </w:r>
          </w:p>
        </w:tc>
        <w:tc>
          <w:tcPr>
            <w:tcW w:w="992" w:type="dxa"/>
            <w:tcBorders>
              <w:top w:val="nil"/>
              <w:left w:val="nil"/>
              <w:bottom w:val="single" w:sz="4" w:space="0" w:color="auto"/>
              <w:right w:val="single" w:sz="4" w:space="0" w:color="auto"/>
            </w:tcBorders>
            <w:noWrap/>
            <w:vAlign w:val="bottom"/>
            <w:hideMark/>
          </w:tcPr>
          <w:p w14:paraId="04AB608F"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1220</w:t>
            </w:r>
          </w:p>
        </w:tc>
        <w:tc>
          <w:tcPr>
            <w:tcW w:w="1268" w:type="dxa"/>
            <w:tcBorders>
              <w:top w:val="nil"/>
              <w:left w:val="nil"/>
              <w:bottom w:val="single" w:sz="4" w:space="0" w:color="auto"/>
              <w:right w:val="single" w:sz="4" w:space="0" w:color="auto"/>
            </w:tcBorders>
            <w:shd w:val="clear" w:color="000000" w:fill="E2EFDA"/>
            <w:noWrap/>
            <w:vAlign w:val="bottom"/>
            <w:hideMark/>
          </w:tcPr>
          <w:p w14:paraId="3DA3F8CF"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88,7</w:t>
            </w:r>
          </w:p>
        </w:tc>
        <w:tc>
          <w:tcPr>
            <w:tcW w:w="716" w:type="dxa"/>
            <w:tcBorders>
              <w:top w:val="nil"/>
              <w:left w:val="nil"/>
              <w:bottom w:val="single" w:sz="4" w:space="0" w:color="auto"/>
              <w:right w:val="single" w:sz="4" w:space="0" w:color="auto"/>
            </w:tcBorders>
            <w:noWrap/>
            <w:vAlign w:val="bottom"/>
            <w:hideMark/>
          </w:tcPr>
          <w:p w14:paraId="568CF324"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254</w:t>
            </w:r>
          </w:p>
        </w:tc>
        <w:tc>
          <w:tcPr>
            <w:tcW w:w="1021" w:type="dxa"/>
            <w:tcBorders>
              <w:top w:val="nil"/>
              <w:left w:val="nil"/>
              <w:bottom w:val="single" w:sz="4" w:space="0" w:color="auto"/>
              <w:right w:val="single" w:sz="4" w:space="0" w:color="auto"/>
            </w:tcBorders>
            <w:noWrap/>
            <w:vAlign w:val="bottom"/>
            <w:hideMark/>
          </w:tcPr>
          <w:p w14:paraId="78589307"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238,5</w:t>
            </w:r>
          </w:p>
        </w:tc>
        <w:tc>
          <w:tcPr>
            <w:tcW w:w="822" w:type="dxa"/>
            <w:tcBorders>
              <w:top w:val="nil"/>
              <w:left w:val="nil"/>
              <w:bottom w:val="single" w:sz="4" w:space="0" w:color="auto"/>
              <w:right w:val="single" w:sz="4" w:space="0" w:color="auto"/>
            </w:tcBorders>
            <w:shd w:val="clear" w:color="000000" w:fill="E2EFDA"/>
            <w:noWrap/>
            <w:vAlign w:val="bottom"/>
            <w:hideMark/>
          </w:tcPr>
          <w:p w14:paraId="790D6368"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6,3</w:t>
            </w:r>
          </w:p>
        </w:tc>
        <w:tc>
          <w:tcPr>
            <w:tcW w:w="992" w:type="dxa"/>
            <w:tcBorders>
              <w:top w:val="nil"/>
              <w:left w:val="nil"/>
              <w:bottom w:val="single" w:sz="4" w:space="0" w:color="auto"/>
              <w:right w:val="single" w:sz="8" w:space="0" w:color="auto"/>
            </w:tcBorders>
            <w:shd w:val="clear" w:color="000000" w:fill="E2EFDA"/>
            <w:noWrap/>
            <w:vAlign w:val="bottom"/>
            <w:hideMark/>
          </w:tcPr>
          <w:p w14:paraId="11AB9454" w14:textId="77777777" w:rsidR="00042E61" w:rsidRPr="00042E61" w:rsidRDefault="00042E61" w:rsidP="00042E61">
            <w:pPr>
              <w:spacing w:after="0" w:line="240" w:lineRule="auto"/>
              <w:rPr>
                <w:rFonts w:ascii="Calibri" w:eastAsia="Times New Roman" w:hAnsi="Calibri" w:cs="Calibri"/>
                <w:b/>
                <w:bCs/>
                <w:color w:val="FF0000"/>
                <w:lang w:eastAsia="fr-FR"/>
              </w:rPr>
            </w:pPr>
            <w:r w:rsidRPr="00042E61">
              <w:rPr>
                <w:rFonts w:ascii="Calibri" w:eastAsia="Times New Roman" w:hAnsi="Calibri" w:cs="Calibri"/>
                <w:b/>
                <w:bCs/>
                <w:color w:val="FF0000"/>
                <w:lang w:eastAsia="fr-FR"/>
              </w:rPr>
              <w:t>7,6</w:t>
            </w:r>
          </w:p>
        </w:tc>
      </w:tr>
      <w:tr w:rsidR="00042E61" w:rsidRPr="00042E61" w14:paraId="004BA9D5" w14:textId="77777777" w:rsidTr="00042E61">
        <w:trPr>
          <w:trHeight w:val="300"/>
        </w:trPr>
        <w:tc>
          <w:tcPr>
            <w:tcW w:w="2200" w:type="dxa"/>
            <w:tcBorders>
              <w:top w:val="nil"/>
              <w:left w:val="single" w:sz="8" w:space="0" w:color="auto"/>
              <w:bottom w:val="single" w:sz="4" w:space="0" w:color="auto"/>
              <w:right w:val="single" w:sz="4" w:space="0" w:color="auto"/>
            </w:tcBorders>
            <w:noWrap/>
            <w:vAlign w:val="bottom"/>
            <w:hideMark/>
          </w:tcPr>
          <w:p w14:paraId="2F97B3E4" w14:textId="77777777" w:rsidR="00042E61" w:rsidRPr="00042E61" w:rsidRDefault="00042E61" w:rsidP="00042E61">
            <w:pPr>
              <w:spacing w:after="0" w:line="240" w:lineRule="auto"/>
              <w:rPr>
                <w:rFonts w:ascii="Arial" w:eastAsia="Times New Roman" w:hAnsi="Arial" w:cs="Arial"/>
                <w:b/>
                <w:bCs/>
                <w:color w:val="0000FF"/>
                <w:sz w:val="20"/>
                <w:szCs w:val="20"/>
                <w:lang w:eastAsia="fr-FR"/>
              </w:rPr>
            </w:pPr>
            <w:r w:rsidRPr="00042E61">
              <w:rPr>
                <w:rFonts w:ascii="Arial" w:eastAsia="Times New Roman" w:hAnsi="Arial" w:cs="Arial"/>
                <w:b/>
                <w:bCs/>
                <w:color w:val="0000FF"/>
                <w:sz w:val="20"/>
                <w:szCs w:val="20"/>
                <w:lang w:eastAsia="fr-FR"/>
              </w:rPr>
              <w:t>Total Livres Adultes</w:t>
            </w:r>
          </w:p>
        </w:tc>
        <w:tc>
          <w:tcPr>
            <w:tcW w:w="1051" w:type="dxa"/>
            <w:tcBorders>
              <w:top w:val="nil"/>
              <w:left w:val="nil"/>
              <w:bottom w:val="single" w:sz="4" w:space="0" w:color="auto"/>
              <w:right w:val="single" w:sz="4" w:space="0" w:color="auto"/>
            </w:tcBorders>
            <w:noWrap/>
            <w:vAlign w:val="bottom"/>
            <w:hideMark/>
          </w:tcPr>
          <w:p w14:paraId="69DCFA4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74257</w:t>
            </w:r>
          </w:p>
        </w:tc>
        <w:tc>
          <w:tcPr>
            <w:tcW w:w="992" w:type="dxa"/>
            <w:tcBorders>
              <w:top w:val="nil"/>
              <w:left w:val="nil"/>
              <w:bottom w:val="single" w:sz="4" w:space="0" w:color="auto"/>
              <w:right w:val="single" w:sz="4" w:space="0" w:color="auto"/>
            </w:tcBorders>
            <w:noWrap/>
            <w:vAlign w:val="bottom"/>
            <w:hideMark/>
          </w:tcPr>
          <w:p w14:paraId="5D7A8ECC"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54931</w:t>
            </w:r>
          </w:p>
        </w:tc>
        <w:tc>
          <w:tcPr>
            <w:tcW w:w="1276" w:type="dxa"/>
            <w:tcBorders>
              <w:top w:val="nil"/>
              <w:left w:val="nil"/>
              <w:bottom w:val="single" w:sz="4" w:space="0" w:color="auto"/>
              <w:right w:val="single" w:sz="4" w:space="0" w:color="auto"/>
            </w:tcBorders>
            <w:shd w:val="clear" w:color="000000" w:fill="E2EFDA"/>
            <w:noWrap/>
            <w:vAlign w:val="bottom"/>
            <w:hideMark/>
          </w:tcPr>
          <w:p w14:paraId="41C4FE8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74,0</w:t>
            </w:r>
          </w:p>
        </w:tc>
        <w:tc>
          <w:tcPr>
            <w:tcW w:w="881" w:type="dxa"/>
            <w:tcBorders>
              <w:top w:val="nil"/>
              <w:left w:val="nil"/>
              <w:bottom w:val="single" w:sz="4" w:space="0" w:color="auto"/>
              <w:right w:val="single" w:sz="4" w:space="0" w:color="auto"/>
            </w:tcBorders>
            <w:noWrap/>
            <w:vAlign w:val="bottom"/>
            <w:hideMark/>
          </w:tcPr>
          <w:p w14:paraId="3D645EE6"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26771</w:t>
            </w:r>
          </w:p>
        </w:tc>
        <w:tc>
          <w:tcPr>
            <w:tcW w:w="820" w:type="dxa"/>
            <w:tcBorders>
              <w:top w:val="nil"/>
              <w:left w:val="nil"/>
              <w:bottom w:val="single" w:sz="4" w:space="0" w:color="auto"/>
              <w:right w:val="single" w:sz="4" w:space="0" w:color="auto"/>
            </w:tcBorders>
            <w:noWrap/>
            <w:vAlign w:val="bottom"/>
            <w:hideMark/>
          </w:tcPr>
          <w:p w14:paraId="4E9974B2"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36,1</w:t>
            </w:r>
          </w:p>
        </w:tc>
        <w:tc>
          <w:tcPr>
            <w:tcW w:w="992" w:type="dxa"/>
            <w:tcBorders>
              <w:top w:val="nil"/>
              <w:left w:val="nil"/>
              <w:bottom w:val="single" w:sz="4" w:space="0" w:color="auto"/>
              <w:right w:val="single" w:sz="4" w:space="0" w:color="auto"/>
            </w:tcBorders>
            <w:noWrap/>
            <w:vAlign w:val="bottom"/>
            <w:hideMark/>
          </w:tcPr>
          <w:p w14:paraId="701EB404"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21663</w:t>
            </w:r>
          </w:p>
        </w:tc>
        <w:tc>
          <w:tcPr>
            <w:tcW w:w="1268" w:type="dxa"/>
            <w:tcBorders>
              <w:top w:val="nil"/>
              <w:left w:val="nil"/>
              <w:bottom w:val="single" w:sz="4" w:space="0" w:color="auto"/>
              <w:right w:val="single" w:sz="4" w:space="0" w:color="auto"/>
            </w:tcBorders>
            <w:shd w:val="clear" w:color="000000" w:fill="E2EFDA"/>
            <w:noWrap/>
            <w:vAlign w:val="bottom"/>
            <w:hideMark/>
          </w:tcPr>
          <w:p w14:paraId="64ECF81C"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80,9</w:t>
            </w:r>
          </w:p>
        </w:tc>
        <w:tc>
          <w:tcPr>
            <w:tcW w:w="716" w:type="dxa"/>
            <w:tcBorders>
              <w:top w:val="nil"/>
              <w:left w:val="nil"/>
              <w:bottom w:val="single" w:sz="4" w:space="0" w:color="auto"/>
              <w:right w:val="single" w:sz="4" w:space="0" w:color="auto"/>
            </w:tcBorders>
            <w:noWrap/>
            <w:vAlign w:val="bottom"/>
            <w:hideMark/>
          </w:tcPr>
          <w:p w14:paraId="71F7315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4640</w:t>
            </w:r>
          </w:p>
        </w:tc>
        <w:tc>
          <w:tcPr>
            <w:tcW w:w="1021" w:type="dxa"/>
            <w:tcBorders>
              <w:top w:val="nil"/>
              <w:left w:val="nil"/>
              <w:bottom w:val="single" w:sz="4" w:space="0" w:color="auto"/>
              <w:right w:val="single" w:sz="4" w:space="0" w:color="auto"/>
            </w:tcBorders>
            <w:noWrap/>
            <w:vAlign w:val="bottom"/>
            <w:hideMark/>
          </w:tcPr>
          <w:p w14:paraId="332D01BE"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4609</w:t>
            </w:r>
          </w:p>
        </w:tc>
        <w:tc>
          <w:tcPr>
            <w:tcW w:w="822" w:type="dxa"/>
            <w:tcBorders>
              <w:top w:val="nil"/>
              <w:left w:val="nil"/>
              <w:bottom w:val="single" w:sz="4" w:space="0" w:color="auto"/>
              <w:right w:val="single" w:sz="4" w:space="0" w:color="auto"/>
            </w:tcBorders>
            <w:shd w:val="clear" w:color="000000" w:fill="E2EFDA"/>
            <w:noWrap/>
            <w:vAlign w:val="bottom"/>
            <w:hideMark/>
          </w:tcPr>
          <w:p w14:paraId="60A8AAC4"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6,7</w:t>
            </w:r>
          </w:p>
        </w:tc>
        <w:tc>
          <w:tcPr>
            <w:tcW w:w="992" w:type="dxa"/>
            <w:tcBorders>
              <w:top w:val="nil"/>
              <w:left w:val="nil"/>
              <w:bottom w:val="single" w:sz="4" w:space="0" w:color="auto"/>
              <w:right w:val="single" w:sz="8" w:space="0" w:color="auto"/>
            </w:tcBorders>
            <w:shd w:val="clear" w:color="000000" w:fill="E2EFDA"/>
            <w:noWrap/>
            <w:vAlign w:val="bottom"/>
            <w:hideMark/>
          </w:tcPr>
          <w:p w14:paraId="41AC0BC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8,1</w:t>
            </w:r>
          </w:p>
        </w:tc>
      </w:tr>
      <w:tr w:rsidR="00042E61" w:rsidRPr="00042E61" w14:paraId="31B56CDF" w14:textId="77777777" w:rsidTr="00042E61">
        <w:trPr>
          <w:trHeight w:val="300"/>
        </w:trPr>
        <w:tc>
          <w:tcPr>
            <w:tcW w:w="2200" w:type="dxa"/>
            <w:tcBorders>
              <w:top w:val="nil"/>
              <w:left w:val="single" w:sz="8" w:space="0" w:color="auto"/>
              <w:bottom w:val="single" w:sz="4" w:space="0" w:color="auto"/>
              <w:right w:val="single" w:sz="4" w:space="0" w:color="auto"/>
            </w:tcBorders>
            <w:noWrap/>
            <w:vAlign w:val="bottom"/>
            <w:hideMark/>
          </w:tcPr>
          <w:p w14:paraId="71BF0520" w14:textId="77777777" w:rsidR="00042E61" w:rsidRPr="00042E61" w:rsidRDefault="00042E61" w:rsidP="00042E61">
            <w:pPr>
              <w:spacing w:after="0" w:line="240" w:lineRule="auto"/>
              <w:rPr>
                <w:rFonts w:ascii="Arial" w:eastAsia="Times New Roman" w:hAnsi="Arial" w:cs="Arial"/>
                <w:b/>
                <w:bCs/>
                <w:color w:val="0000FF"/>
                <w:sz w:val="20"/>
                <w:szCs w:val="20"/>
                <w:lang w:eastAsia="fr-FR"/>
              </w:rPr>
            </w:pPr>
            <w:r w:rsidRPr="00042E61">
              <w:rPr>
                <w:rFonts w:ascii="Arial" w:eastAsia="Times New Roman" w:hAnsi="Arial" w:cs="Arial"/>
                <w:b/>
                <w:bCs/>
                <w:color w:val="0000FF"/>
                <w:sz w:val="20"/>
                <w:szCs w:val="20"/>
                <w:lang w:eastAsia="fr-FR"/>
              </w:rPr>
              <w:t>Total Livres</w:t>
            </w:r>
          </w:p>
        </w:tc>
        <w:tc>
          <w:tcPr>
            <w:tcW w:w="1051" w:type="dxa"/>
            <w:tcBorders>
              <w:top w:val="nil"/>
              <w:left w:val="nil"/>
              <w:bottom w:val="single" w:sz="4" w:space="0" w:color="auto"/>
              <w:right w:val="single" w:sz="4" w:space="0" w:color="auto"/>
            </w:tcBorders>
            <w:noWrap/>
            <w:vAlign w:val="bottom"/>
            <w:hideMark/>
          </w:tcPr>
          <w:p w14:paraId="48349808"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noWrap/>
            <w:vAlign w:val="bottom"/>
            <w:hideMark/>
          </w:tcPr>
          <w:p w14:paraId="24B9596D"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75A8815D"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74,1</w:t>
            </w:r>
          </w:p>
        </w:tc>
        <w:tc>
          <w:tcPr>
            <w:tcW w:w="881" w:type="dxa"/>
            <w:tcBorders>
              <w:top w:val="nil"/>
              <w:left w:val="nil"/>
              <w:bottom w:val="single" w:sz="4" w:space="0" w:color="auto"/>
              <w:right w:val="single" w:sz="4" w:space="0" w:color="auto"/>
            </w:tcBorders>
            <w:noWrap/>
            <w:vAlign w:val="bottom"/>
            <w:hideMark/>
          </w:tcPr>
          <w:p w14:paraId="5C77B3A9"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64278</w:t>
            </w:r>
          </w:p>
        </w:tc>
        <w:tc>
          <w:tcPr>
            <w:tcW w:w="820" w:type="dxa"/>
            <w:tcBorders>
              <w:top w:val="nil"/>
              <w:left w:val="nil"/>
              <w:bottom w:val="single" w:sz="4" w:space="0" w:color="auto"/>
              <w:right w:val="single" w:sz="4" w:space="0" w:color="auto"/>
            </w:tcBorders>
            <w:noWrap/>
            <w:vAlign w:val="bottom"/>
            <w:hideMark/>
          </w:tcPr>
          <w:p w14:paraId="7734435E"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34,2</w:t>
            </w:r>
          </w:p>
        </w:tc>
        <w:tc>
          <w:tcPr>
            <w:tcW w:w="992" w:type="dxa"/>
            <w:tcBorders>
              <w:top w:val="nil"/>
              <w:left w:val="nil"/>
              <w:bottom w:val="single" w:sz="4" w:space="0" w:color="auto"/>
              <w:right w:val="single" w:sz="4" w:space="0" w:color="auto"/>
            </w:tcBorders>
            <w:noWrap/>
            <w:vAlign w:val="bottom"/>
            <w:hideMark/>
          </w:tcPr>
          <w:p w14:paraId="2B095959"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52681</w:t>
            </w:r>
          </w:p>
        </w:tc>
        <w:tc>
          <w:tcPr>
            <w:tcW w:w="1268" w:type="dxa"/>
            <w:tcBorders>
              <w:top w:val="nil"/>
              <w:left w:val="nil"/>
              <w:bottom w:val="single" w:sz="4" w:space="0" w:color="auto"/>
              <w:right w:val="single" w:sz="4" w:space="0" w:color="auto"/>
            </w:tcBorders>
            <w:shd w:val="clear" w:color="000000" w:fill="E2EFDA"/>
            <w:noWrap/>
            <w:vAlign w:val="bottom"/>
            <w:hideMark/>
          </w:tcPr>
          <w:p w14:paraId="20B569E6"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82,0</w:t>
            </w:r>
          </w:p>
        </w:tc>
        <w:tc>
          <w:tcPr>
            <w:tcW w:w="716" w:type="dxa"/>
            <w:tcBorders>
              <w:top w:val="nil"/>
              <w:left w:val="nil"/>
              <w:bottom w:val="single" w:sz="4" w:space="0" w:color="auto"/>
              <w:right w:val="single" w:sz="4" w:space="0" w:color="auto"/>
            </w:tcBorders>
            <w:noWrap/>
            <w:vAlign w:val="bottom"/>
            <w:hideMark/>
          </w:tcPr>
          <w:p w14:paraId="6AAC69B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noWrap/>
            <w:vAlign w:val="bottom"/>
            <w:hideMark/>
          </w:tcPr>
          <w:p w14:paraId="73610837"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12323</w:t>
            </w:r>
          </w:p>
        </w:tc>
        <w:tc>
          <w:tcPr>
            <w:tcW w:w="822" w:type="dxa"/>
            <w:tcBorders>
              <w:top w:val="nil"/>
              <w:left w:val="nil"/>
              <w:bottom w:val="single" w:sz="4" w:space="0" w:color="auto"/>
              <w:right w:val="single" w:sz="4" w:space="0" w:color="auto"/>
            </w:tcBorders>
            <w:shd w:val="clear" w:color="000000" w:fill="E2EFDA"/>
            <w:noWrap/>
            <w:vAlign w:val="bottom"/>
            <w:hideMark/>
          </w:tcPr>
          <w:p w14:paraId="6C852BA6"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7,3</w:t>
            </w:r>
          </w:p>
        </w:tc>
        <w:tc>
          <w:tcPr>
            <w:tcW w:w="992" w:type="dxa"/>
            <w:tcBorders>
              <w:top w:val="nil"/>
              <w:left w:val="nil"/>
              <w:bottom w:val="single" w:sz="4" w:space="0" w:color="auto"/>
              <w:right w:val="single" w:sz="8" w:space="0" w:color="auto"/>
            </w:tcBorders>
            <w:shd w:val="clear" w:color="000000" w:fill="E2EFDA"/>
            <w:noWrap/>
            <w:vAlign w:val="bottom"/>
            <w:hideMark/>
          </w:tcPr>
          <w:p w14:paraId="4BE8814E"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7,6</w:t>
            </w:r>
          </w:p>
        </w:tc>
      </w:tr>
      <w:tr w:rsidR="00042E61" w:rsidRPr="00042E61" w14:paraId="4DB0A4F2" w14:textId="77777777" w:rsidTr="00042E61">
        <w:trPr>
          <w:trHeight w:val="315"/>
        </w:trPr>
        <w:tc>
          <w:tcPr>
            <w:tcW w:w="2200" w:type="dxa"/>
            <w:tcBorders>
              <w:top w:val="nil"/>
              <w:left w:val="single" w:sz="8" w:space="0" w:color="auto"/>
              <w:bottom w:val="single" w:sz="8" w:space="0" w:color="auto"/>
              <w:right w:val="single" w:sz="4" w:space="0" w:color="auto"/>
            </w:tcBorders>
            <w:noWrap/>
            <w:vAlign w:val="bottom"/>
            <w:hideMark/>
          </w:tcPr>
          <w:p w14:paraId="181E7132" w14:textId="77777777" w:rsidR="00042E61" w:rsidRPr="00042E61" w:rsidRDefault="00042E61" w:rsidP="00042E61">
            <w:pPr>
              <w:spacing w:after="0" w:line="240" w:lineRule="auto"/>
              <w:rPr>
                <w:rFonts w:ascii="Arial" w:eastAsia="Times New Roman" w:hAnsi="Arial" w:cs="Arial"/>
                <w:b/>
                <w:bCs/>
                <w:color w:val="0000FF"/>
                <w:sz w:val="20"/>
                <w:szCs w:val="20"/>
                <w:lang w:eastAsia="fr-FR"/>
              </w:rPr>
            </w:pPr>
            <w:r w:rsidRPr="00042E61">
              <w:rPr>
                <w:rFonts w:ascii="Arial" w:eastAsia="Times New Roman" w:hAnsi="Arial" w:cs="Arial"/>
                <w:b/>
                <w:bCs/>
                <w:color w:val="0000FF"/>
                <w:sz w:val="20"/>
                <w:szCs w:val="20"/>
                <w:lang w:eastAsia="fr-FR"/>
              </w:rPr>
              <w:t>TOTAL</w:t>
            </w:r>
          </w:p>
        </w:tc>
        <w:tc>
          <w:tcPr>
            <w:tcW w:w="1051" w:type="dxa"/>
            <w:tcBorders>
              <w:top w:val="nil"/>
              <w:left w:val="nil"/>
              <w:bottom w:val="single" w:sz="8" w:space="0" w:color="auto"/>
              <w:right w:val="single" w:sz="4" w:space="0" w:color="auto"/>
            </w:tcBorders>
            <w:noWrap/>
            <w:vAlign w:val="bottom"/>
            <w:hideMark/>
          </w:tcPr>
          <w:p w14:paraId="62E937E5"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noWrap/>
            <w:vAlign w:val="bottom"/>
            <w:hideMark/>
          </w:tcPr>
          <w:p w14:paraId="281236E4"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5DD0957A"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73,5</w:t>
            </w:r>
          </w:p>
        </w:tc>
        <w:tc>
          <w:tcPr>
            <w:tcW w:w="881" w:type="dxa"/>
            <w:tcBorders>
              <w:top w:val="nil"/>
              <w:left w:val="nil"/>
              <w:bottom w:val="single" w:sz="8" w:space="0" w:color="auto"/>
              <w:right w:val="single" w:sz="4" w:space="0" w:color="auto"/>
            </w:tcBorders>
            <w:noWrap/>
            <w:vAlign w:val="bottom"/>
            <w:hideMark/>
          </w:tcPr>
          <w:p w14:paraId="2603628E"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70525</w:t>
            </w:r>
          </w:p>
        </w:tc>
        <w:tc>
          <w:tcPr>
            <w:tcW w:w="820" w:type="dxa"/>
            <w:tcBorders>
              <w:top w:val="nil"/>
              <w:left w:val="nil"/>
              <w:bottom w:val="single" w:sz="8" w:space="0" w:color="auto"/>
              <w:right w:val="single" w:sz="4" w:space="0" w:color="auto"/>
            </w:tcBorders>
            <w:noWrap/>
            <w:vAlign w:val="bottom"/>
            <w:hideMark/>
          </w:tcPr>
          <w:p w14:paraId="6AE8B76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33,9</w:t>
            </w:r>
          </w:p>
        </w:tc>
        <w:tc>
          <w:tcPr>
            <w:tcW w:w="992" w:type="dxa"/>
            <w:tcBorders>
              <w:top w:val="nil"/>
              <w:left w:val="nil"/>
              <w:bottom w:val="single" w:sz="8" w:space="0" w:color="auto"/>
              <w:right w:val="single" w:sz="4" w:space="0" w:color="auto"/>
            </w:tcBorders>
            <w:noWrap/>
            <w:vAlign w:val="bottom"/>
            <w:hideMark/>
          </w:tcPr>
          <w:p w14:paraId="7CCFDD4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57259</w:t>
            </w:r>
          </w:p>
        </w:tc>
        <w:tc>
          <w:tcPr>
            <w:tcW w:w="1268" w:type="dxa"/>
            <w:tcBorders>
              <w:top w:val="nil"/>
              <w:left w:val="nil"/>
              <w:bottom w:val="single" w:sz="8" w:space="0" w:color="auto"/>
              <w:right w:val="single" w:sz="4" w:space="0" w:color="auto"/>
            </w:tcBorders>
            <w:shd w:val="clear" w:color="000000" w:fill="E2EFDA"/>
            <w:noWrap/>
            <w:vAlign w:val="bottom"/>
            <w:hideMark/>
          </w:tcPr>
          <w:p w14:paraId="4D67D85C"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81,2</w:t>
            </w:r>
          </w:p>
        </w:tc>
        <w:tc>
          <w:tcPr>
            <w:tcW w:w="716" w:type="dxa"/>
            <w:tcBorders>
              <w:top w:val="nil"/>
              <w:left w:val="nil"/>
              <w:bottom w:val="single" w:sz="8" w:space="0" w:color="auto"/>
              <w:right w:val="single" w:sz="4" w:space="0" w:color="auto"/>
            </w:tcBorders>
            <w:noWrap/>
            <w:vAlign w:val="bottom"/>
            <w:hideMark/>
          </w:tcPr>
          <w:p w14:paraId="23E421D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noWrap/>
            <w:vAlign w:val="bottom"/>
            <w:hideMark/>
          </w:tcPr>
          <w:p w14:paraId="01F39FA3"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13471</w:t>
            </w:r>
          </w:p>
        </w:tc>
        <w:tc>
          <w:tcPr>
            <w:tcW w:w="822" w:type="dxa"/>
            <w:tcBorders>
              <w:top w:val="nil"/>
              <w:left w:val="nil"/>
              <w:bottom w:val="single" w:sz="8" w:space="0" w:color="auto"/>
              <w:right w:val="single" w:sz="4" w:space="0" w:color="auto"/>
            </w:tcBorders>
            <w:shd w:val="clear" w:color="000000" w:fill="E2EFDA"/>
            <w:noWrap/>
            <w:vAlign w:val="bottom"/>
            <w:hideMark/>
          </w:tcPr>
          <w:p w14:paraId="7A3FD1DB"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7,4</w:t>
            </w:r>
          </w:p>
        </w:tc>
        <w:tc>
          <w:tcPr>
            <w:tcW w:w="992" w:type="dxa"/>
            <w:tcBorders>
              <w:top w:val="nil"/>
              <w:left w:val="nil"/>
              <w:bottom w:val="single" w:sz="8" w:space="0" w:color="auto"/>
              <w:right w:val="single" w:sz="8" w:space="0" w:color="auto"/>
            </w:tcBorders>
            <w:shd w:val="clear" w:color="000000" w:fill="E2EFDA"/>
            <w:noWrap/>
            <w:vAlign w:val="bottom"/>
            <w:hideMark/>
          </w:tcPr>
          <w:p w14:paraId="7D62ADC0" w14:textId="77777777" w:rsidR="00042E61" w:rsidRPr="00042E61" w:rsidRDefault="00042E61" w:rsidP="00042E61">
            <w:pPr>
              <w:spacing w:after="0" w:line="240" w:lineRule="auto"/>
              <w:rPr>
                <w:rFonts w:ascii="Calibri" w:eastAsia="Times New Roman" w:hAnsi="Calibri" w:cs="Calibri"/>
                <w:color w:val="000000"/>
                <w:lang w:eastAsia="fr-FR"/>
              </w:rPr>
            </w:pPr>
            <w:r w:rsidRPr="00042E61">
              <w:rPr>
                <w:rFonts w:ascii="Calibri" w:eastAsia="Times New Roman" w:hAnsi="Calibri" w:cs="Calibri"/>
                <w:color w:val="000000"/>
                <w:lang w:eastAsia="fr-FR"/>
              </w:rPr>
              <w:t>7,7</w:t>
            </w:r>
          </w:p>
        </w:tc>
      </w:tr>
    </w:tbl>
    <w:p w14:paraId="77B6FE3F" w14:textId="77777777" w:rsidR="00042E61" w:rsidRDefault="00042E61" w:rsidP="00542EB2"/>
    <w:p w14:paraId="5C287426" w14:textId="3374C36C" w:rsidR="005458D9" w:rsidRDefault="00042E61" w:rsidP="00042E61">
      <w:pPr>
        <w:pStyle w:val="Titre2"/>
      </w:pPr>
      <w:bookmarkStart w:id="14" w:name="_Toc190443707"/>
      <w:r>
        <w:lastRenderedPageBreak/>
        <w:t>2022 (données 2021)</w:t>
      </w:r>
      <w:bookmarkEnd w:id="14"/>
    </w:p>
    <w:tbl>
      <w:tblPr>
        <w:tblW w:w="13031" w:type="dxa"/>
        <w:tblCellMar>
          <w:left w:w="70" w:type="dxa"/>
          <w:right w:w="70" w:type="dxa"/>
        </w:tblCellMar>
        <w:tblLook w:val="04A0" w:firstRow="1" w:lastRow="0" w:firstColumn="1" w:lastColumn="0" w:noHBand="0" w:noVBand="1"/>
      </w:tblPr>
      <w:tblGrid>
        <w:gridCol w:w="2140"/>
        <w:gridCol w:w="1040"/>
        <w:gridCol w:w="1040"/>
        <w:gridCol w:w="1299"/>
        <w:gridCol w:w="850"/>
        <w:gridCol w:w="788"/>
        <w:gridCol w:w="1020"/>
        <w:gridCol w:w="1311"/>
        <w:gridCol w:w="708"/>
        <w:gridCol w:w="1021"/>
        <w:gridCol w:w="822"/>
        <w:gridCol w:w="1043"/>
      </w:tblGrid>
      <w:tr w:rsidR="00C95808" w:rsidRPr="00C95808" w14:paraId="08F3D42D" w14:textId="77777777" w:rsidTr="00C95808">
        <w:trPr>
          <w:trHeight w:val="300"/>
        </w:trPr>
        <w:tc>
          <w:tcPr>
            <w:tcW w:w="2140" w:type="dxa"/>
            <w:tcBorders>
              <w:top w:val="single" w:sz="8" w:space="0" w:color="auto"/>
              <w:left w:val="single" w:sz="8" w:space="0" w:color="auto"/>
              <w:bottom w:val="single" w:sz="4" w:space="0" w:color="auto"/>
              <w:right w:val="single" w:sz="4" w:space="0" w:color="auto"/>
            </w:tcBorders>
            <w:noWrap/>
            <w:vAlign w:val="bottom"/>
            <w:hideMark/>
          </w:tcPr>
          <w:p w14:paraId="52AC506F"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Localisation origine</w:t>
            </w:r>
          </w:p>
        </w:tc>
        <w:tc>
          <w:tcPr>
            <w:tcW w:w="1040" w:type="dxa"/>
            <w:tcBorders>
              <w:top w:val="single" w:sz="8" w:space="0" w:color="auto"/>
              <w:left w:val="nil"/>
              <w:bottom w:val="single" w:sz="4" w:space="0" w:color="auto"/>
              <w:right w:val="single" w:sz="4" w:space="0" w:color="auto"/>
            </w:tcBorders>
            <w:noWrap/>
            <w:vAlign w:val="bottom"/>
            <w:hideMark/>
          </w:tcPr>
          <w:p w14:paraId="37969229"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nb docs</w:t>
            </w:r>
          </w:p>
        </w:tc>
        <w:tc>
          <w:tcPr>
            <w:tcW w:w="1040" w:type="dxa"/>
            <w:tcBorders>
              <w:top w:val="single" w:sz="8" w:space="0" w:color="auto"/>
              <w:left w:val="nil"/>
              <w:bottom w:val="single" w:sz="4" w:space="0" w:color="auto"/>
              <w:right w:val="single" w:sz="4" w:space="0" w:color="auto"/>
            </w:tcBorders>
            <w:noWrap/>
            <w:vAlign w:val="bottom"/>
            <w:hideMark/>
          </w:tcPr>
          <w:p w14:paraId="2671EE96"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nb docs en prêt</w:t>
            </w:r>
          </w:p>
        </w:tc>
        <w:tc>
          <w:tcPr>
            <w:tcW w:w="1299" w:type="dxa"/>
            <w:tcBorders>
              <w:top w:val="single" w:sz="8" w:space="0" w:color="auto"/>
              <w:left w:val="nil"/>
              <w:bottom w:val="single" w:sz="4" w:space="0" w:color="auto"/>
              <w:right w:val="single" w:sz="4" w:space="0" w:color="auto"/>
            </w:tcBorders>
            <w:noWrap/>
            <w:vAlign w:val="bottom"/>
            <w:hideMark/>
          </w:tcPr>
          <w:p w14:paraId="7BDAB31A"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%age prêt</w:t>
            </w:r>
          </w:p>
        </w:tc>
        <w:tc>
          <w:tcPr>
            <w:tcW w:w="850" w:type="dxa"/>
            <w:tcBorders>
              <w:top w:val="single" w:sz="8" w:space="0" w:color="auto"/>
              <w:left w:val="nil"/>
              <w:bottom w:val="single" w:sz="4" w:space="0" w:color="auto"/>
              <w:right w:val="single" w:sz="4" w:space="0" w:color="auto"/>
            </w:tcBorders>
            <w:noWrap/>
            <w:vAlign w:val="bottom"/>
            <w:hideMark/>
          </w:tcPr>
          <w:p w14:paraId="1015D8A5"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nb docs - 5 ans</w:t>
            </w:r>
          </w:p>
        </w:tc>
        <w:tc>
          <w:tcPr>
            <w:tcW w:w="788" w:type="dxa"/>
            <w:tcBorders>
              <w:top w:val="single" w:sz="8" w:space="0" w:color="auto"/>
              <w:left w:val="nil"/>
              <w:bottom w:val="single" w:sz="4" w:space="0" w:color="auto"/>
              <w:right w:val="single" w:sz="4" w:space="0" w:color="auto"/>
            </w:tcBorders>
            <w:noWrap/>
            <w:vAlign w:val="bottom"/>
            <w:hideMark/>
          </w:tcPr>
          <w:p w14:paraId="3124F082"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%age - 5 ans</w:t>
            </w:r>
          </w:p>
        </w:tc>
        <w:tc>
          <w:tcPr>
            <w:tcW w:w="1020" w:type="dxa"/>
            <w:tcBorders>
              <w:top w:val="single" w:sz="8" w:space="0" w:color="auto"/>
              <w:left w:val="nil"/>
              <w:bottom w:val="single" w:sz="4" w:space="0" w:color="auto"/>
              <w:right w:val="single" w:sz="4" w:space="0" w:color="auto"/>
            </w:tcBorders>
            <w:noWrap/>
            <w:vAlign w:val="bottom"/>
            <w:hideMark/>
          </w:tcPr>
          <w:p w14:paraId="712B7866"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nb prêts - 5 ans</w:t>
            </w:r>
          </w:p>
        </w:tc>
        <w:tc>
          <w:tcPr>
            <w:tcW w:w="1311" w:type="dxa"/>
            <w:tcBorders>
              <w:top w:val="single" w:sz="8" w:space="0" w:color="auto"/>
              <w:left w:val="nil"/>
              <w:bottom w:val="single" w:sz="4" w:space="0" w:color="auto"/>
              <w:right w:val="single" w:sz="4" w:space="0" w:color="auto"/>
            </w:tcBorders>
            <w:noWrap/>
            <w:vAlign w:val="bottom"/>
            <w:hideMark/>
          </w:tcPr>
          <w:p w14:paraId="2BB6E4B5"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%age - 5 ans en prêt</w:t>
            </w:r>
          </w:p>
        </w:tc>
        <w:tc>
          <w:tcPr>
            <w:tcW w:w="708" w:type="dxa"/>
            <w:tcBorders>
              <w:top w:val="single" w:sz="8" w:space="0" w:color="auto"/>
              <w:left w:val="nil"/>
              <w:bottom w:val="single" w:sz="4" w:space="0" w:color="auto"/>
              <w:right w:val="single" w:sz="4" w:space="0" w:color="auto"/>
            </w:tcBorders>
            <w:noWrap/>
            <w:vAlign w:val="bottom"/>
            <w:hideMark/>
          </w:tcPr>
          <w:p w14:paraId="2270ACC7"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acq° 2021</w:t>
            </w:r>
          </w:p>
        </w:tc>
        <w:tc>
          <w:tcPr>
            <w:tcW w:w="1021" w:type="dxa"/>
            <w:tcBorders>
              <w:top w:val="single" w:sz="8" w:space="0" w:color="auto"/>
              <w:left w:val="nil"/>
              <w:bottom w:val="single" w:sz="4" w:space="0" w:color="auto"/>
              <w:right w:val="single" w:sz="4" w:space="0" w:color="auto"/>
            </w:tcBorders>
            <w:noWrap/>
            <w:vAlign w:val="bottom"/>
            <w:hideMark/>
          </w:tcPr>
          <w:p w14:paraId="57A10A89"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acq° annuelles</w:t>
            </w:r>
          </w:p>
        </w:tc>
        <w:tc>
          <w:tcPr>
            <w:tcW w:w="822" w:type="dxa"/>
            <w:tcBorders>
              <w:top w:val="single" w:sz="8" w:space="0" w:color="auto"/>
              <w:left w:val="nil"/>
              <w:bottom w:val="single" w:sz="4" w:space="0" w:color="auto"/>
              <w:right w:val="single" w:sz="4" w:space="0" w:color="auto"/>
            </w:tcBorders>
            <w:noWrap/>
            <w:vAlign w:val="bottom"/>
            <w:hideMark/>
          </w:tcPr>
          <w:p w14:paraId="581E051B"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Âge réel</w:t>
            </w:r>
          </w:p>
        </w:tc>
        <w:tc>
          <w:tcPr>
            <w:tcW w:w="992" w:type="dxa"/>
            <w:tcBorders>
              <w:top w:val="single" w:sz="8" w:space="0" w:color="auto"/>
              <w:left w:val="nil"/>
              <w:bottom w:val="single" w:sz="4" w:space="0" w:color="auto"/>
              <w:right w:val="single" w:sz="8" w:space="0" w:color="auto"/>
            </w:tcBorders>
            <w:noWrap/>
            <w:vAlign w:val="bottom"/>
            <w:hideMark/>
          </w:tcPr>
          <w:p w14:paraId="12B6C6C3" w14:textId="77777777" w:rsidR="00C95808" w:rsidRPr="00C95808" w:rsidRDefault="00C95808" w:rsidP="00C95808">
            <w:pPr>
              <w:spacing w:after="0" w:line="240" w:lineRule="auto"/>
              <w:rPr>
                <w:rFonts w:ascii="Calibri" w:eastAsia="Times New Roman" w:hAnsi="Calibri" w:cs="Calibri"/>
                <w:b/>
                <w:bCs/>
                <w:color w:val="000000"/>
                <w:lang w:eastAsia="fr-FR"/>
              </w:rPr>
            </w:pPr>
            <w:r w:rsidRPr="00C95808">
              <w:rPr>
                <w:rFonts w:ascii="Calibri" w:eastAsia="Times New Roman" w:hAnsi="Calibri" w:cs="Calibri"/>
                <w:b/>
                <w:bCs/>
                <w:color w:val="000000"/>
                <w:lang w:eastAsia="fr-FR"/>
              </w:rPr>
              <w:t>Âge théorique</w:t>
            </w:r>
          </w:p>
        </w:tc>
      </w:tr>
      <w:tr w:rsidR="00C95808" w:rsidRPr="00C95808" w14:paraId="2202066E" w14:textId="77777777" w:rsidTr="00C95808">
        <w:trPr>
          <w:trHeight w:val="300"/>
        </w:trPr>
        <w:tc>
          <w:tcPr>
            <w:tcW w:w="2140" w:type="dxa"/>
            <w:tcBorders>
              <w:top w:val="nil"/>
              <w:left w:val="single" w:sz="8" w:space="0" w:color="auto"/>
              <w:bottom w:val="single" w:sz="4" w:space="0" w:color="auto"/>
              <w:right w:val="single" w:sz="4" w:space="0" w:color="auto"/>
            </w:tcBorders>
            <w:shd w:val="clear" w:color="000000" w:fill="DDEBF7"/>
            <w:noWrap/>
            <w:vAlign w:val="bottom"/>
            <w:hideMark/>
          </w:tcPr>
          <w:p w14:paraId="0D1F71B5"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SF adultes</w:t>
            </w:r>
          </w:p>
        </w:tc>
        <w:tc>
          <w:tcPr>
            <w:tcW w:w="1040" w:type="dxa"/>
            <w:tcBorders>
              <w:top w:val="nil"/>
              <w:left w:val="nil"/>
              <w:bottom w:val="single" w:sz="4" w:space="0" w:color="auto"/>
              <w:right w:val="single" w:sz="4" w:space="0" w:color="auto"/>
            </w:tcBorders>
            <w:noWrap/>
            <w:vAlign w:val="bottom"/>
            <w:hideMark/>
          </w:tcPr>
          <w:p w14:paraId="0A59D871"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3665</w:t>
            </w:r>
          </w:p>
        </w:tc>
        <w:tc>
          <w:tcPr>
            <w:tcW w:w="1040" w:type="dxa"/>
            <w:tcBorders>
              <w:top w:val="nil"/>
              <w:left w:val="nil"/>
              <w:bottom w:val="single" w:sz="4" w:space="0" w:color="auto"/>
              <w:right w:val="single" w:sz="4" w:space="0" w:color="auto"/>
            </w:tcBorders>
            <w:noWrap/>
            <w:vAlign w:val="bottom"/>
            <w:hideMark/>
          </w:tcPr>
          <w:p w14:paraId="33D1168E"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2949</w:t>
            </w:r>
          </w:p>
        </w:tc>
        <w:tc>
          <w:tcPr>
            <w:tcW w:w="1299" w:type="dxa"/>
            <w:tcBorders>
              <w:top w:val="nil"/>
              <w:left w:val="nil"/>
              <w:bottom w:val="single" w:sz="4" w:space="0" w:color="auto"/>
              <w:right w:val="single" w:sz="4" w:space="0" w:color="auto"/>
            </w:tcBorders>
            <w:shd w:val="clear" w:color="000000" w:fill="C6E0B4"/>
            <w:noWrap/>
            <w:vAlign w:val="bottom"/>
            <w:hideMark/>
          </w:tcPr>
          <w:p w14:paraId="775B2591"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80,5</w:t>
            </w:r>
          </w:p>
        </w:tc>
        <w:tc>
          <w:tcPr>
            <w:tcW w:w="850" w:type="dxa"/>
            <w:tcBorders>
              <w:top w:val="nil"/>
              <w:left w:val="nil"/>
              <w:bottom w:val="single" w:sz="4" w:space="0" w:color="auto"/>
              <w:right w:val="single" w:sz="4" w:space="0" w:color="auto"/>
            </w:tcBorders>
            <w:noWrap/>
            <w:vAlign w:val="bottom"/>
            <w:hideMark/>
          </w:tcPr>
          <w:p w14:paraId="7EBD1FA9"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1532</w:t>
            </w:r>
          </w:p>
        </w:tc>
        <w:tc>
          <w:tcPr>
            <w:tcW w:w="788" w:type="dxa"/>
            <w:tcBorders>
              <w:top w:val="nil"/>
              <w:left w:val="nil"/>
              <w:bottom w:val="single" w:sz="4" w:space="0" w:color="auto"/>
              <w:right w:val="single" w:sz="4" w:space="0" w:color="auto"/>
            </w:tcBorders>
            <w:noWrap/>
            <w:vAlign w:val="bottom"/>
            <w:hideMark/>
          </w:tcPr>
          <w:p w14:paraId="38749D7E"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41,8</w:t>
            </w:r>
          </w:p>
        </w:tc>
        <w:tc>
          <w:tcPr>
            <w:tcW w:w="1020" w:type="dxa"/>
            <w:tcBorders>
              <w:top w:val="nil"/>
              <w:left w:val="nil"/>
              <w:bottom w:val="single" w:sz="4" w:space="0" w:color="auto"/>
              <w:right w:val="single" w:sz="4" w:space="0" w:color="auto"/>
            </w:tcBorders>
            <w:noWrap/>
            <w:vAlign w:val="bottom"/>
            <w:hideMark/>
          </w:tcPr>
          <w:p w14:paraId="6CCAB16E"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1217</w:t>
            </w:r>
          </w:p>
        </w:tc>
        <w:tc>
          <w:tcPr>
            <w:tcW w:w="1311" w:type="dxa"/>
            <w:tcBorders>
              <w:top w:val="nil"/>
              <w:left w:val="nil"/>
              <w:bottom w:val="single" w:sz="4" w:space="0" w:color="auto"/>
              <w:right w:val="single" w:sz="4" w:space="0" w:color="auto"/>
            </w:tcBorders>
            <w:shd w:val="clear" w:color="000000" w:fill="C6E0B4"/>
            <w:noWrap/>
            <w:vAlign w:val="bottom"/>
            <w:hideMark/>
          </w:tcPr>
          <w:p w14:paraId="3705ADD1"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79,4</w:t>
            </w:r>
          </w:p>
        </w:tc>
        <w:tc>
          <w:tcPr>
            <w:tcW w:w="708" w:type="dxa"/>
            <w:tcBorders>
              <w:top w:val="nil"/>
              <w:left w:val="nil"/>
              <w:bottom w:val="single" w:sz="4" w:space="0" w:color="auto"/>
              <w:right w:val="single" w:sz="4" w:space="0" w:color="auto"/>
            </w:tcBorders>
            <w:noWrap/>
            <w:vAlign w:val="bottom"/>
            <w:hideMark/>
          </w:tcPr>
          <w:p w14:paraId="6FE9F148"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222</w:t>
            </w:r>
          </w:p>
        </w:tc>
        <w:tc>
          <w:tcPr>
            <w:tcW w:w="1021" w:type="dxa"/>
            <w:tcBorders>
              <w:top w:val="nil"/>
              <w:left w:val="nil"/>
              <w:bottom w:val="single" w:sz="4" w:space="0" w:color="auto"/>
              <w:right w:val="single" w:sz="4" w:space="0" w:color="auto"/>
            </w:tcBorders>
            <w:noWrap/>
            <w:vAlign w:val="bottom"/>
            <w:hideMark/>
          </w:tcPr>
          <w:p w14:paraId="7CDA467F"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267</w:t>
            </w:r>
          </w:p>
        </w:tc>
        <w:tc>
          <w:tcPr>
            <w:tcW w:w="822" w:type="dxa"/>
            <w:tcBorders>
              <w:top w:val="nil"/>
              <w:left w:val="nil"/>
              <w:bottom w:val="single" w:sz="4" w:space="0" w:color="auto"/>
              <w:right w:val="single" w:sz="4" w:space="0" w:color="auto"/>
            </w:tcBorders>
            <w:shd w:val="clear" w:color="000000" w:fill="C6E0B4"/>
            <w:noWrap/>
            <w:vAlign w:val="bottom"/>
            <w:hideMark/>
          </w:tcPr>
          <w:p w14:paraId="5CCF7357"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6,1</w:t>
            </w:r>
          </w:p>
        </w:tc>
        <w:tc>
          <w:tcPr>
            <w:tcW w:w="992" w:type="dxa"/>
            <w:tcBorders>
              <w:top w:val="nil"/>
              <w:left w:val="nil"/>
              <w:bottom w:val="single" w:sz="4" w:space="0" w:color="auto"/>
              <w:right w:val="single" w:sz="8" w:space="0" w:color="auto"/>
            </w:tcBorders>
            <w:shd w:val="clear" w:color="000000" w:fill="C6E0B4"/>
            <w:noWrap/>
            <w:vAlign w:val="bottom"/>
            <w:hideMark/>
          </w:tcPr>
          <w:p w14:paraId="1D88BE87" w14:textId="77777777" w:rsidR="00C95808" w:rsidRPr="00C95808" w:rsidRDefault="00C95808" w:rsidP="00C95808">
            <w:pPr>
              <w:spacing w:after="0" w:line="240" w:lineRule="auto"/>
              <w:rPr>
                <w:rFonts w:ascii="Calibri" w:eastAsia="Times New Roman" w:hAnsi="Calibri" w:cs="Calibri"/>
                <w:b/>
                <w:bCs/>
                <w:color w:val="FF0000"/>
                <w:lang w:eastAsia="fr-FR"/>
              </w:rPr>
            </w:pPr>
            <w:r w:rsidRPr="00C95808">
              <w:rPr>
                <w:rFonts w:ascii="Calibri" w:eastAsia="Times New Roman" w:hAnsi="Calibri" w:cs="Calibri"/>
                <w:b/>
                <w:bCs/>
                <w:color w:val="FF0000"/>
                <w:lang w:eastAsia="fr-FR"/>
              </w:rPr>
              <w:t>6,9</w:t>
            </w:r>
          </w:p>
        </w:tc>
      </w:tr>
      <w:tr w:rsidR="00C95808" w:rsidRPr="00C95808" w14:paraId="13CE566D" w14:textId="77777777" w:rsidTr="00C95808">
        <w:trPr>
          <w:trHeight w:val="300"/>
        </w:trPr>
        <w:tc>
          <w:tcPr>
            <w:tcW w:w="2140" w:type="dxa"/>
            <w:tcBorders>
              <w:top w:val="nil"/>
              <w:left w:val="single" w:sz="8" w:space="0" w:color="auto"/>
              <w:bottom w:val="single" w:sz="4" w:space="0" w:color="auto"/>
              <w:right w:val="single" w:sz="4" w:space="0" w:color="auto"/>
            </w:tcBorders>
            <w:noWrap/>
            <w:vAlign w:val="bottom"/>
            <w:hideMark/>
          </w:tcPr>
          <w:p w14:paraId="42BD6514" w14:textId="77777777" w:rsidR="00C95808" w:rsidRPr="00C95808" w:rsidRDefault="00C95808" w:rsidP="00C95808">
            <w:pPr>
              <w:spacing w:after="0" w:line="240" w:lineRule="auto"/>
              <w:rPr>
                <w:rFonts w:ascii="Arial" w:eastAsia="Times New Roman" w:hAnsi="Arial" w:cs="Arial"/>
                <w:b/>
                <w:bCs/>
                <w:color w:val="0000FF"/>
                <w:sz w:val="20"/>
                <w:szCs w:val="20"/>
                <w:lang w:eastAsia="fr-FR"/>
              </w:rPr>
            </w:pPr>
            <w:r w:rsidRPr="00C95808">
              <w:rPr>
                <w:rFonts w:ascii="Arial" w:eastAsia="Times New Roman" w:hAnsi="Arial" w:cs="Arial"/>
                <w:b/>
                <w:bCs/>
                <w:color w:val="0000FF"/>
                <w:sz w:val="20"/>
                <w:szCs w:val="20"/>
                <w:lang w:eastAsia="fr-FR"/>
              </w:rPr>
              <w:t>Total Livres A</w:t>
            </w:r>
          </w:p>
        </w:tc>
        <w:tc>
          <w:tcPr>
            <w:tcW w:w="1040" w:type="dxa"/>
            <w:tcBorders>
              <w:top w:val="nil"/>
              <w:left w:val="nil"/>
              <w:bottom w:val="single" w:sz="4" w:space="0" w:color="auto"/>
              <w:right w:val="single" w:sz="4" w:space="0" w:color="auto"/>
            </w:tcBorders>
            <w:noWrap/>
            <w:vAlign w:val="bottom"/>
            <w:hideMark/>
          </w:tcPr>
          <w:p w14:paraId="76DB962A"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77570</w:t>
            </w:r>
          </w:p>
        </w:tc>
        <w:tc>
          <w:tcPr>
            <w:tcW w:w="1040" w:type="dxa"/>
            <w:tcBorders>
              <w:top w:val="nil"/>
              <w:left w:val="nil"/>
              <w:bottom w:val="single" w:sz="4" w:space="0" w:color="auto"/>
              <w:right w:val="single" w:sz="4" w:space="0" w:color="auto"/>
            </w:tcBorders>
            <w:noWrap/>
            <w:vAlign w:val="bottom"/>
            <w:hideMark/>
          </w:tcPr>
          <w:p w14:paraId="611CCAA8"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56977</w:t>
            </w:r>
          </w:p>
        </w:tc>
        <w:tc>
          <w:tcPr>
            <w:tcW w:w="1299" w:type="dxa"/>
            <w:tcBorders>
              <w:top w:val="nil"/>
              <w:left w:val="nil"/>
              <w:bottom w:val="single" w:sz="4" w:space="0" w:color="auto"/>
              <w:right w:val="single" w:sz="4" w:space="0" w:color="auto"/>
            </w:tcBorders>
            <w:shd w:val="clear" w:color="000000" w:fill="C6E0B4"/>
            <w:noWrap/>
            <w:vAlign w:val="bottom"/>
            <w:hideMark/>
          </w:tcPr>
          <w:p w14:paraId="2897838C"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73,5</w:t>
            </w:r>
          </w:p>
        </w:tc>
        <w:tc>
          <w:tcPr>
            <w:tcW w:w="850" w:type="dxa"/>
            <w:tcBorders>
              <w:top w:val="nil"/>
              <w:left w:val="nil"/>
              <w:bottom w:val="single" w:sz="4" w:space="0" w:color="auto"/>
              <w:right w:val="single" w:sz="4" w:space="0" w:color="auto"/>
            </w:tcBorders>
            <w:noWrap/>
            <w:vAlign w:val="bottom"/>
            <w:hideMark/>
          </w:tcPr>
          <w:p w14:paraId="579E56A4"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29674</w:t>
            </w:r>
          </w:p>
        </w:tc>
        <w:tc>
          <w:tcPr>
            <w:tcW w:w="788" w:type="dxa"/>
            <w:tcBorders>
              <w:top w:val="nil"/>
              <w:left w:val="nil"/>
              <w:bottom w:val="single" w:sz="4" w:space="0" w:color="auto"/>
              <w:right w:val="single" w:sz="4" w:space="0" w:color="auto"/>
            </w:tcBorders>
            <w:noWrap/>
            <w:vAlign w:val="bottom"/>
            <w:hideMark/>
          </w:tcPr>
          <w:p w14:paraId="706EC80A"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38,3</w:t>
            </w:r>
          </w:p>
        </w:tc>
        <w:tc>
          <w:tcPr>
            <w:tcW w:w="1020" w:type="dxa"/>
            <w:tcBorders>
              <w:top w:val="nil"/>
              <w:left w:val="nil"/>
              <w:bottom w:val="single" w:sz="4" w:space="0" w:color="auto"/>
              <w:right w:val="single" w:sz="4" w:space="0" w:color="auto"/>
            </w:tcBorders>
            <w:noWrap/>
            <w:vAlign w:val="bottom"/>
            <w:hideMark/>
          </w:tcPr>
          <w:p w14:paraId="64FD0823"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23101</w:t>
            </w:r>
          </w:p>
        </w:tc>
        <w:tc>
          <w:tcPr>
            <w:tcW w:w="1311" w:type="dxa"/>
            <w:tcBorders>
              <w:top w:val="nil"/>
              <w:left w:val="nil"/>
              <w:bottom w:val="single" w:sz="4" w:space="0" w:color="auto"/>
              <w:right w:val="single" w:sz="4" w:space="0" w:color="auto"/>
            </w:tcBorders>
            <w:shd w:val="clear" w:color="000000" w:fill="C6E0B4"/>
            <w:noWrap/>
            <w:vAlign w:val="bottom"/>
            <w:hideMark/>
          </w:tcPr>
          <w:p w14:paraId="5A2E251E"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77,8</w:t>
            </w:r>
          </w:p>
        </w:tc>
        <w:tc>
          <w:tcPr>
            <w:tcW w:w="708" w:type="dxa"/>
            <w:tcBorders>
              <w:top w:val="nil"/>
              <w:left w:val="nil"/>
              <w:bottom w:val="single" w:sz="4" w:space="0" w:color="auto"/>
              <w:right w:val="single" w:sz="4" w:space="0" w:color="auto"/>
            </w:tcBorders>
            <w:noWrap/>
            <w:vAlign w:val="bottom"/>
            <w:hideMark/>
          </w:tcPr>
          <w:p w14:paraId="3752DA26"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4599</w:t>
            </w:r>
          </w:p>
        </w:tc>
        <w:tc>
          <w:tcPr>
            <w:tcW w:w="1021" w:type="dxa"/>
            <w:tcBorders>
              <w:top w:val="nil"/>
              <w:left w:val="nil"/>
              <w:bottom w:val="single" w:sz="4" w:space="0" w:color="auto"/>
              <w:right w:val="single" w:sz="4" w:space="0" w:color="auto"/>
            </w:tcBorders>
            <w:noWrap/>
            <w:vAlign w:val="bottom"/>
            <w:hideMark/>
          </w:tcPr>
          <w:p w14:paraId="0087AD04"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5028</w:t>
            </w:r>
          </w:p>
        </w:tc>
        <w:tc>
          <w:tcPr>
            <w:tcW w:w="822" w:type="dxa"/>
            <w:tcBorders>
              <w:top w:val="nil"/>
              <w:left w:val="nil"/>
              <w:bottom w:val="single" w:sz="4" w:space="0" w:color="auto"/>
              <w:right w:val="single" w:sz="4" w:space="0" w:color="auto"/>
            </w:tcBorders>
            <w:shd w:val="clear" w:color="000000" w:fill="C6E0B4"/>
            <w:noWrap/>
            <w:vAlign w:val="bottom"/>
            <w:hideMark/>
          </w:tcPr>
          <w:p w14:paraId="70051152"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6,6</w:t>
            </w:r>
          </w:p>
        </w:tc>
        <w:tc>
          <w:tcPr>
            <w:tcW w:w="992" w:type="dxa"/>
            <w:tcBorders>
              <w:top w:val="nil"/>
              <w:left w:val="nil"/>
              <w:bottom w:val="single" w:sz="4" w:space="0" w:color="auto"/>
              <w:right w:val="single" w:sz="8" w:space="0" w:color="auto"/>
            </w:tcBorders>
            <w:shd w:val="clear" w:color="000000" w:fill="C6E0B4"/>
            <w:noWrap/>
            <w:vAlign w:val="bottom"/>
            <w:hideMark/>
          </w:tcPr>
          <w:p w14:paraId="0D7670B4"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7,7</w:t>
            </w:r>
          </w:p>
        </w:tc>
      </w:tr>
      <w:tr w:rsidR="00C95808" w:rsidRPr="00C95808" w14:paraId="2A473B68" w14:textId="77777777" w:rsidTr="00C95808">
        <w:trPr>
          <w:trHeight w:val="300"/>
        </w:trPr>
        <w:tc>
          <w:tcPr>
            <w:tcW w:w="2140" w:type="dxa"/>
            <w:tcBorders>
              <w:top w:val="nil"/>
              <w:left w:val="single" w:sz="8" w:space="0" w:color="auto"/>
              <w:bottom w:val="single" w:sz="4" w:space="0" w:color="auto"/>
              <w:right w:val="single" w:sz="4" w:space="0" w:color="auto"/>
            </w:tcBorders>
            <w:noWrap/>
            <w:vAlign w:val="bottom"/>
            <w:hideMark/>
          </w:tcPr>
          <w:p w14:paraId="6DD64D71" w14:textId="77777777" w:rsidR="00C95808" w:rsidRPr="00C95808" w:rsidRDefault="00C95808" w:rsidP="00C95808">
            <w:pPr>
              <w:spacing w:after="0" w:line="240" w:lineRule="auto"/>
              <w:rPr>
                <w:rFonts w:ascii="Arial" w:eastAsia="Times New Roman" w:hAnsi="Arial" w:cs="Arial"/>
                <w:b/>
                <w:bCs/>
                <w:color w:val="0000FF"/>
                <w:sz w:val="20"/>
                <w:szCs w:val="20"/>
                <w:lang w:eastAsia="fr-FR"/>
              </w:rPr>
            </w:pPr>
            <w:r w:rsidRPr="00C95808">
              <w:rPr>
                <w:rFonts w:ascii="Arial" w:eastAsia="Times New Roman" w:hAnsi="Arial" w:cs="Arial"/>
                <w:b/>
                <w:bCs/>
                <w:color w:val="0000FF"/>
                <w:sz w:val="20"/>
                <w:szCs w:val="20"/>
                <w:lang w:eastAsia="fr-FR"/>
              </w:rPr>
              <w:t>Total Livres</w:t>
            </w:r>
          </w:p>
        </w:tc>
        <w:tc>
          <w:tcPr>
            <w:tcW w:w="1040" w:type="dxa"/>
            <w:tcBorders>
              <w:top w:val="nil"/>
              <w:left w:val="nil"/>
              <w:bottom w:val="single" w:sz="4" w:space="0" w:color="auto"/>
              <w:right w:val="single" w:sz="4" w:space="0" w:color="auto"/>
            </w:tcBorders>
            <w:noWrap/>
            <w:vAlign w:val="bottom"/>
            <w:hideMark/>
          </w:tcPr>
          <w:p w14:paraId="5165CA95"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192220</w:t>
            </w:r>
          </w:p>
        </w:tc>
        <w:tc>
          <w:tcPr>
            <w:tcW w:w="1040" w:type="dxa"/>
            <w:tcBorders>
              <w:top w:val="nil"/>
              <w:left w:val="nil"/>
              <w:bottom w:val="single" w:sz="4" w:space="0" w:color="auto"/>
              <w:right w:val="single" w:sz="4" w:space="0" w:color="auto"/>
            </w:tcBorders>
            <w:noWrap/>
            <w:vAlign w:val="bottom"/>
            <w:hideMark/>
          </w:tcPr>
          <w:p w14:paraId="49198A93"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139941</w:t>
            </w:r>
          </w:p>
        </w:tc>
        <w:tc>
          <w:tcPr>
            <w:tcW w:w="1299" w:type="dxa"/>
            <w:tcBorders>
              <w:top w:val="nil"/>
              <w:left w:val="nil"/>
              <w:bottom w:val="single" w:sz="4" w:space="0" w:color="auto"/>
              <w:right w:val="single" w:sz="4" w:space="0" w:color="auto"/>
            </w:tcBorders>
            <w:shd w:val="clear" w:color="000000" w:fill="C6E0B4"/>
            <w:noWrap/>
            <w:vAlign w:val="bottom"/>
            <w:hideMark/>
          </w:tcPr>
          <w:p w14:paraId="73E5F813"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72,8</w:t>
            </w:r>
          </w:p>
        </w:tc>
        <w:tc>
          <w:tcPr>
            <w:tcW w:w="850" w:type="dxa"/>
            <w:tcBorders>
              <w:top w:val="nil"/>
              <w:left w:val="nil"/>
              <w:bottom w:val="single" w:sz="4" w:space="0" w:color="auto"/>
              <w:right w:val="single" w:sz="4" w:space="0" w:color="auto"/>
            </w:tcBorders>
            <w:noWrap/>
            <w:vAlign w:val="bottom"/>
            <w:hideMark/>
          </w:tcPr>
          <w:p w14:paraId="586AE677"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66655</w:t>
            </w:r>
          </w:p>
        </w:tc>
        <w:tc>
          <w:tcPr>
            <w:tcW w:w="788" w:type="dxa"/>
            <w:tcBorders>
              <w:top w:val="nil"/>
              <w:left w:val="nil"/>
              <w:bottom w:val="single" w:sz="4" w:space="0" w:color="auto"/>
              <w:right w:val="single" w:sz="4" w:space="0" w:color="auto"/>
            </w:tcBorders>
            <w:noWrap/>
            <w:vAlign w:val="bottom"/>
            <w:hideMark/>
          </w:tcPr>
          <w:p w14:paraId="18183CEC"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34,7</w:t>
            </w:r>
          </w:p>
        </w:tc>
        <w:tc>
          <w:tcPr>
            <w:tcW w:w="1020" w:type="dxa"/>
            <w:tcBorders>
              <w:top w:val="nil"/>
              <w:left w:val="nil"/>
              <w:bottom w:val="single" w:sz="4" w:space="0" w:color="auto"/>
              <w:right w:val="single" w:sz="4" w:space="0" w:color="auto"/>
            </w:tcBorders>
            <w:noWrap/>
            <w:vAlign w:val="bottom"/>
            <w:hideMark/>
          </w:tcPr>
          <w:p w14:paraId="74E5ED77"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53315</w:t>
            </w:r>
          </w:p>
        </w:tc>
        <w:tc>
          <w:tcPr>
            <w:tcW w:w="1311" w:type="dxa"/>
            <w:tcBorders>
              <w:top w:val="nil"/>
              <w:left w:val="nil"/>
              <w:bottom w:val="single" w:sz="4" w:space="0" w:color="auto"/>
              <w:right w:val="single" w:sz="4" w:space="0" w:color="auto"/>
            </w:tcBorders>
            <w:shd w:val="clear" w:color="000000" w:fill="C6E0B4"/>
            <w:noWrap/>
            <w:vAlign w:val="bottom"/>
            <w:hideMark/>
          </w:tcPr>
          <w:p w14:paraId="33D3F63A"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80,0</w:t>
            </w:r>
          </w:p>
        </w:tc>
        <w:tc>
          <w:tcPr>
            <w:tcW w:w="708" w:type="dxa"/>
            <w:tcBorders>
              <w:top w:val="nil"/>
              <w:left w:val="nil"/>
              <w:bottom w:val="single" w:sz="4" w:space="0" w:color="auto"/>
              <w:right w:val="single" w:sz="4" w:space="0" w:color="auto"/>
            </w:tcBorders>
            <w:noWrap/>
            <w:vAlign w:val="bottom"/>
            <w:hideMark/>
          </w:tcPr>
          <w:p w14:paraId="6599DC9E"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noWrap/>
            <w:vAlign w:val="bottom"/>
            <w:hideMark/>
          </w:tcPr>
          <w:p w14:paraId="5AB19986"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12825</w:t>
            </w:r>
          </w:p>
        </w:tc>
        <w:tc>
          <w:tcPr>
            <w:tcW w:w="822" w:type="dxa"/>
            <w:tcBorders>
              <w:top w:val="nil"/>
              <w:left w:val="nil"/>
              <w:bottom w:val="single" w:sz="4" w:space="0" w:color="auto"/>
              <w:right w:val="single" w:sz="4" w:space="0" w:color="auto"/>
            </w:tcBorders>
            <w:shd w:val="clear" w:color="000000" w:fill="C6E0B4"/>
            <w:noWrap/>
            <w:vAlign w:val="bottom"/>
            <w:hideMark/>
          </w:tcPr>
          <w:p w14:paraId="6A5B9ABF"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7,2</w:t>
            </w:r>
          </w:p>
        </w:tc>
        <w:tc>
          <w:tcPr>
            <w:tcW w:w="992" w:type="dxa"/>
            <w:tcBorders>
              <w:top w:val="nil"/>
              <w:left w:val="nil"/>
              <w:bottom w:val="single" w:sz="4" w:space="0" w:color="auto"/>
              <w:right w:val="single" w:sz="8" w:space="0" w:color="auto"/>
            </w:tcBorders>
            <w:shd w:val="clear" w:color="000000" w:fill="C6E0B4"/>
            <w:noWrap/>
            <w:vAlign w:val="bottom"/>
            <w:hideMark/>
          </w:tcPr>
          <w:p w14:paraId="574C6EE5"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7,5</w:t>
            </w:r>
          </w:p>
        </w:tc>
      </w:tr>
      <w:tr w:rsidR="00C95808" w:rsidRPr="00C95808" w14:paraId="502DC14E" w14:textId="77777777" w:rsidTr="00C95808">
        <w:trPr>
          <w:trHeight w:val="315"/>
        </w:trPr>
        <w:tc>
          <w:tcPr>
            <w:tcW w:w="2140" w:type="dxa"/>
            <w:tcBorders>
              <w:top w:val="nil"/>
              <w:left w:val="single" w:sz="8" w:space="0" w:color="auto"/>
              <w:bottom w:val="single" w:sz="8" w:space="0" w:color="auto"/>
              <w:right w:val="single" w:sz="4" w:space="0" w:color="auto"/>
            </w:tcBorders>
            <w:noWrap/>
            <w:vAlign w:val="bottom"/>
            <w:hideMark/>
          </w:tcPr>
          <w:p w14:paraId="09BED40F" w14:textId="77777777" w:rsidR="00C95808" w:rsidRPr="00C95808" w:rsidRDefault="00C95808" w:rsidP="00C95808">
            <w:pPr>
              <w:spacing w:after="0" w:line="240" w:lineRule="auto"/>
              <w:rPr>
                <w:rFonts w:ascii="Arial" w:eastAsia="Times New Roman" w:hAnsi="Arial" w:cs="Arial"/>
                <w:b/>
                <w:bCs/>
                <w:color w:val="0000FF"/>
                <w:sz w:val="20"/>
                <w:szCs w:val="20"/>
                <w:lang w:eastAsia="fr-FR"/>
              </w:rPr>
            </w:pPr>
            <w:r w:rsidRPr="00C95808">
              <w:rPr>
                <w:rFonts w:ascii="Arial" w:eastAsia="Times New Roman" w:hAnsi="Arial" w:cs="Arial"/>
                <w:b/>
                <w:bCs/>
                <w:color w:val="0000FF"/>
                <w:sz w:val="20"/>
                <w:szCs w:val="20"/>
                <w:lang w:eastAsia="fr-FR"/>
              </w:rPr>
              <w:t>TOTAL</w:t>
            </w:r>
          </w:p>
        </w:tc>
        <w:tc>
          <w:tcPr>
            <w:tcW w:w="1040" w:type="dxa"/>
            <w:tcBorders>
              <w:top w:val="nil"/>
              <w:left w:val="nil"/>
              <w:bottom w:val="single" w:sz="8" w:space="0" w:color="auto"/>
              <w:right w:val="single" w:sz="4" w:space="0" w:color="auto"/>
            </w:tcBorders>
            <w:noWrap/>
            <w:vAlign w:val="bottom"/>
            <w:hideMark/>
          </w:tcPr>
          <w:p w14:paraId="78D9FDAA"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214512</w:t>
            </w:r>
          </w:p>
        </w:tc>
        <w:tc>
          <w:tcPr>
            <w:tcW w:w="1040" w:type="dxa"/>
            <w:tcBorders>
              <w:top w:val="nil"/>
              <w:left w:val="nil"/>
              <w:bottom w:val="single" w:sz="8" w:space="0" w:color="auto"/>
              <w:right w:val="single" w:sz="4" w:space="0" w:color="auto"/>
            </w:tcBorders>
            <w:noWrap/>
            <w:vAlign w:val="bottom"/>
            <w:hideMark/>
          </w:tcPr>
          <w:p w14:paraId="5DE56821"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155587</w:t>
            </w:r>
          </w:p>
        </w:tc>
        <w:tc>
          <w:tcPr>
            <w:tcW w:w="1299" w:type="dxa"/>
            <w:tcBorders>
              <w:top w:val="nil"/>
              <w:left w:val="nil"/>
              <w:bottom w:val="single" w:sz="8" w:space="0" w:color="auto"/>
              <w:right w:val="single" w:sz="4" w:space="0" w:color="auto"/>
            </w:tcBorders>
            <w:shd w:val="clear" w:color="000000" w:fill="C6E0B4"/>
            <w:noWrap/>
            <w:vAlign w:val="bottom"/>
            <w:hideMark/>
          </w:tcPr>
          <w:p w14:paraId="44D8A01E"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72,5</w:t>
            </w:r>
          </w:p>
        </w:tc>
        <w:tc>
          <w:tcPr>
            <w:tcW w:w="850" w:type="dxa"/>
            <w:tcBorders>
              <w:top w:val="nil"/>
              <w:left w:val="nil"/>
              <w:bottom w:val="single" w:sz="8" w:space="0" w:color="auto"/>
              <w:right w:val="single" w:sz="4" w:space="0" w:color="auto"/>
            </w:tcBorders>
            <w:noWrap/>
            <w:vAlign w:val="bottom"/>
            <w:hideMark/>
          </w:tcPr>
          <w:p w14:paraId="4583687A"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73616</w:t>
            </w:r>
          </w:p>
        </w:tc>
        <w:tc>
          <w:tcPr>
            <w:tcW w:w="788" w:type="dxa"/>
            <w:tcBorders>
              <w:top w:val="nil"/>
              <w:left w:val="nil"/>
              <w:bottom w:val="single" w:sz="8" w:space="0" w:color="auto"/>
              <w:right w:val="single" w:sz="4" w:space="0" w:color="auto"/>
            </w:tcBorders>
            <w:noWrap/>
            <w:vAlign w:val="bottom"/>
            <w:hideMark/>
          </w:tcPr>
          <w:p w14:paraId="5D4BF865"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34,3</w:t>
            </w:r>
          </w:p>
        </w:tc>
        <w:tc>
          <w:tcPr>
            <w:tcW w:w="1020" w:type="dxa"/>
            <w:tcBorders>
              <w:top w:val="nil"/>
              <w:left w:val="nil"/>
              <w:bottom w:val="single" w:sz="8" w:space="0" w:color="auto"/>
              <w:right w:val="single" w:sz="4" w:space="0" w:color="auto"/>
            </w:tcBorders>
            <w:noWrap/>
            <w:vAlign w:val="bottom"/>
            <w:hideMark/>
          </w:tcPr>
          <w:p w14:paraId="46851FFF"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58793</w:t>
            </w:r>
          </w:p>
        </w:tc>
        <w:tc>
          <w:tcPr>
            <w:tcW w:w="1311" w:type="dxa"/>
            <w:tcBorders>
              <w:top w:val="nil"/>
              <w:left w:val="nil"/>
              <w:bottom w:val="single" w:sz="8" w:space="0" w:color="auto"/>
              <w:right w:val="single" w:sz="4" w:space="0" w:color="auto"/>
            </w:tcBorders>
            <w:shd w:val="clear" w:color="000000" w:fill="C6E0B4"/>
            <w:noWrap/>
            <w:vAlign w:val="bottom"/>
            <w:hideMark/>
          </w:tcPr>
          <w:p w14:paraId="7C29434A"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79,9</w:t>
            </w:r>
          </w:p>
        </w:tc>
        <w:tc>
          <w:tcPr>
            <w:tcW w:w="708" w:type="dxa"/>
            <w:tcBorders>
              <w:top w:val="nil"/>
              <w:left w:val="nil"/>
              <w:bottom w:val="single" w:sz="8" w:space="0" w:color="auto"/>
              <w:right w:val="single" w:sz="4" w:space="0" w:color="auto"/>
            </w:tcBorders>
            <w:noWrap/>
            <w:vAlign w:val="bottom"/>
            <w:hideMark/>
          </w:tcPr>
          <w:p w14:paraId="56075CED"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noWrap/>
            <w:vAlign w:val="bottom"/>
            <w:hideMark/>
          </w:tcPr>
          <w:p w14:paraId="7384D16D"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14179</w:t>
            </w:r>
          </w:p>
        </w:tc>
        <w:tc>
          <w:tcPr>
            <w:tcW w:w="822" w:type="dxa"/>
            <w:tcBorders>
              <w:top w:val="nil"/>
              <w:left w:val="nil"/>
              <w:bottom w:val="single" w:sz="8" w:space="0" w:color="auto"/>
              <w:right w:val="single" w:sz="4" w:space="0" w:color="auto"/>
            </w:tcBorders>
            <w:shd w:val="clear" w:color="000000" w:fill="C6E0B4"/>
            <w:noWrap/>
            <w:vAlign w:val="bottom"/>
            <w:hideMark/>
          </w:tcPr>
          <w:p w14:paraId="496340ED"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7,3</w:t>
            </w:r>
          </w:p>
        </w:tc>
        <w:tc>
          <w:tcPr>
            <w:tcW w:w="992" w:type="dxa"/>
            <w:tcBorders>
              <w:top w:val="nil"/>
              <w:left w:val="nil"/>
              <w:bottom w:val="single" w:sz="8" w:space="0" w:color="auto"/>
              <w:right w:val="single" w:sz="8" w:space="0" w:color="auto"/>
            </w:tcBorders>
            <w:shd w:val="clear" w:color="000000" w:fill="C6E0B4"/>
            <w:noWrap/>
            <w:vAlign w:val="bottom"/>
            <w:hideMark/>
          </w:tcPr>
          <w:p w14:paraId="7FBEA786" w14:textId="77777777" w:rsidR="00C95808" w:rsidRPr="00C95808" w:rsidRDefault="00C95808" w:rsidP="00C95808">
            <w:pPr>
              <w:spacing w:after="0" w:line="240" w:lineRule="auto"/>
              <w:rPr>
                <w:rFonts w:ascii="Calibri" w:eastAsia="Times New Roman" w:hAnsi="Calibri" w:cs="Calibri"/>
                <w:color w:val="000000"/>
                <w:lang w:eastAsia="fr-FR"/>
              </w:rPr>
            </w:pPr>
            <w:r w:rsidRPr="00C95808">
              <w:rPr>
                <w:rFonts w:ascii="Calibri" w:eastAsia="Times New Roman" w:hAnsi="Calibri" w:cs="Calibri"/>
                <w:color w:val="000000"/>
                <w:lang w:eastAsia="fr-FR"/>
              </w:rPr>
              <w:t>7,6</w:t>
            </w:r>
          </w:p>
        </w:tc>
      </w:tr>
    </w:tbl>
    <w:p w14:paraId="58996CF9" w14:textId="77777777" w:rsidR="00042E61" w:rsidRDefault="00042E61"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5" w:name="_Toc190443708"/>
      <w:r>
        <w:lastRenderedPageBreak/>
        <w:t>Plan de développement</w:t>
      </w:r>
      <w:bookmarkEnd w:id="15"/>
    </w:p>
    <w:p w14:paraId="1145D622" w14:textId="14E8E2AE" w:rsidR="00176B8B" w:rsidRDefault="00176B8B" w:rsidP="00176B8B">
      <w:pPr>
        <w:pStyle w:val="Titre2"/>
      </w:pPr>
      <w:bookmarkStart w:id="16" w:name="_Toc190443709"/>
      <w:r>
        <w:t>2025</w:t>
      </w:r>
      <w:bookmarkEnd w:id="16"/>
    </w:p>
    <w:p w14:paraId="3290C362" w14:textId="2E135DAB" w:rsidR="00176B8B" w:rsidRPr="00176B8B" w:rsidRDefault="00176B8B" w:rsidP="00176B8B">
      <w:r>
        <w:t>Ce fonds a connu une forte baisse des prêts en 202</w:t>
      </w:r>
      <w:r w:rsidR="00620EC2">
        <w:t>4</w:t>
      </w:r>
      <w:r>
        <w:t xml:space="preserve"> (7,8% contre -3% pour l’ensemble des livres adultes). Son taux de prêt reste supérieur à la moyenne (77,9% contre 75,1% pour les livres adultes) mais se normalise peu à peu (on était à près de 80% en 2023).  C’est un fonds qui est légèrement plus jeune que la moyenne des livres adultes (6,5 ans contre 6,7) mais avec un âge théorique légèrement supérieur (7,8 contre 7,3).</w:t>
      </w:r>
      <w:r>
        <w:br/>
        <w:t>Le taux de prêt plaiderait pour une augmentation du fonds en volume et une augmentation des acquisitions, mais le manque de place en rayon ne le permet pas. A espace constant, les acquisitions semblent bien calibrées.</w:t>
      </w:r>
      <w:r>
        <w:br/>
        <w:t>A voir avec la nouvelle acquéreuse la pertinence de réduire légèrement le facing pour augmenter un peu le stockage</w:t>
      </w:r>
    </w:p>
    <w:p w14:paraId="0656676E" w14:textId="156FCBF0" w:rsidR="005458D9" w:rsidRDefault="005458D9" w:rsidP="005458D9">
      <w:pPr>
        <w:pStyle w:val="Titre2"/>
      </w:pPr>
      <w:bookmarkStart w:id="17" w:name="_Toc190443710"/>
      <w:r>
        <w:t>2024</w:t>
      </w:r>
      <w:bookmarkEnd w:id="17"/>
    </w:p>
    <w:p w14:paraId="09E03779" w14:textId="5DBA401A" w:rsidR="005458D9" w:rsidRDefault="00C95808" w:rsidP="005458D9">
      <w:r>
        <w:t xml:space="preserve">Ce domaine est dans une situation assez similaire au policiers adultes. Il s’agit d’un des domaines ayant le plus fort taux d’emprunt (79,3% contre 73,4% pour l’ensemble des livres adultes) et plus jeune que la moyenne (6,5 ans contre 6,7). Malheureusement le manque de place ne lui permet pas de se développer comme il le mériterait. Les acquisitions doivent en conséquence être sous-dimensionnées par rapport au besoin pour éviter d’avoir à désherber des ouvrages trop récents. Cependant, l’âge des collections a pas mal augmenté depuis 2020 (passé de 6 à 6,5) ce qui va nécessiter d’augmenter très graduellement les acquisitions. </w:t>
      </w:r>
      <w:r>
        <w:br/>
        <w:t>Il pourrait également être pertinent de réduire légèrement le facing pour augmenter un peu le stockage</w:t>
      </w:r>
    </w:p>
    <w:p w14:paraId="459BBE56" w14:textId="7D50D8A1" w:rsidR="00C95808" w:rsidRDefault="00C95808" w:rsidP="00C95808">
      <w:pPr>
        <w:pStyle w:val="Titre2"/>
      </w:pPr>
      <w:bookmarkStart w:id="18" w:name="_Toc190443711"/>
      <w:r>
        <w:t>2023</w:t>
      </w:r>
      <w:bookmarkEnd w:id="18"/>
    </w:p>
    <w:p w14:paraId="33A96ED4" w14:textId="176DC024" w:rsidR="00C95808" w:rsidRPr="005458D9" w:rsidRDefault="00C95808" w:rsidP="005458D9">
      <w:r>
        <w:t>ce domaine est dans une dynamique assez positive. Le nombre d’ouvrages en prêt a augmenté entre 2021 et 2022 et le taux de prêts est désormais le plus élevé de la fiction adulte, 8 points au-dessus de la moyenne tant pour l’ensemble du fonds que pour les ouvrages récents. Cela traduit un réveil de l’appétence des bibliothèques pour ce fonds – souvent délaissé – qui reflète l’essor des littératures de l’imaginaire en librairie.</w:t>
      </w:r>
      <w:r>
        <w:br/>
        <w:t>Comme les policiers, ce fonds souffre d’un manque de place qui l’empêche de se développer à la hauteur des attentes du réseau. Son âge réel a augmenté entre 2021 et 2022 (6,3 contre 6,1) mais l’âge théorique (7,7) est inférieur à la moyenne des livres adultes (8,1). Cela plaide malheureusement pour une légère diminution des acquisitions. Compte tenu du manque de place, on pourra envisager de réduire un peu l’espace dévolu au facing de ce rayon, en attendant un hypothétique réaménagement des magasins qui permettrait à ce domaine de s’étendre davantage.</w:t>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D457FD"/>
    <w:multiLevelType w:val="hybridMultilevel"/>
    <w:tmpl w:val="35D826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96C159F"/>
    <w:multiLevelType w:val="hybridMultilevel"/>
    <w:tmpl w:val="65140A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5D4105"/>
    <w:multiLevelType w:val="hybridMultilevel"/>
    <w:tmpl w:val="902A1E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98915538">
    <w:abstractNumId w:val="0"/>
  </w:num>
  <w:num w:numId="2" w16cid:durableId="1460536002">
    <w:abstractNumId w:val="1"/>
  </w:num>
  <w:num w:numId="3" w16cid:durableId="445538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35ACD"/>
    <w:rsid w:val="00042E61"/>
    <w:rsid w:val="00043A13"/>
    <w:rsid w:val="00090002"/>
    <w:rsid w:val="000A4FE7"/>
    <w:rsid w:val="000A6373"/>
    <w:rsid w:val="000D273C"/>
    <w:rsid w:val="00127DA2"/>
    <w:rsid w:val="00175309"/>
    <w:rsid w:val="00176B8B"/>
    <w:rsid w:val="001F3206"/>
    <w:rsid w:val="002177EF"/>
    <w:rsid w:val="002233E8"/>
    <w:rsid w:val="002410C4"/>
    <w:rsid w:val="00254BAA"/>
    <w:rsid w:val="00265C04"/>
    <w:rsid w:val="00295B87"/>
    <w:rsid w:val="002B3DF5"/>
    <w:rsid w:val="002D1EA0"/>
    <w:rsid w:val="00303E34"/>
    <w:rsid w:val="003065BF"/>
    <w:rsid w:val="00317FFB"/>
    <w:rsid w:val="0032717A"/>
    <w:rsid w:val="00365A92"/>
    <w:rsid w:val="00366FC9"/>
    <w:rsid w:val="00432FE9"/>
    <w:rsid w:val="004428AA"/>
    <w:rsid w:val="0047353E"/>
    <w:rsid w:val="0051555A"/>
    <w:rsid w:val="0054284C"/>
    <w:rsid w:val="00542EB2"/>
    <w:rsid w:val="005433C6"/>
    <w:rsid w:val="005458D9"/>
    <w:rsid w:val="0056131A"/>
    <w:rsid w:val="005A1965"/>
    <w:rsid w:val="005B0974"/>
    <w:rsid w:val="005C2842"/>
    <w:rsid w:val="005C626F"/>
    <w:rsid w:val="005E2C15"/>
    <w:rsid w:val="005E54AC"/>
    <w:rsid w:val="005F37B4"/>
    <w:rsid w:val="00620EC2"/>
    <w:rsid w:val="00643B29"/>
    <w:rsid w:val="00671EC5"/>
    <w:rsid w:val="0069145F"/>
    <w:rsid w:val="006A2230"/>
    <w:rsid w:val="006A7026"/>
    <w:rsid w:val="006B02CD"/>
    <w:rsid w:val="006B5249"/>
    <w:rsid w:val="0072615C"/>
    <w:rsid w:val="007621EC"/>
    <w:rsid w:val="00777350"/>
    <w:rsid w:val="007854DE"/>
    <w:rsid w:val="00804BE7"/>
    <w:rsid w:val="0085690E"/>
    <w:rsid w:val="00884FEE"/>
    <w:rsid w:val="00975972"/>
    <w:rsid w:val="009D25F4"/>
    <w:rsid w:val="00A2404A"/>
    <w:rsid w:val="00A27337"/>
    <w:rsid w:val="00A51557"/>
    <w:rsid w:val="00A56B97"/>
    <w:rsid w:val="00A61EC3"/>
    <w:rsid w:val="00AE336F"/>
    <w:rsid w:val="00B163F5"/>
    <w:rsid w:val="00B557E5"/>
    <w:rsid w:val="00B72BD6"/>
    <w:rsid w:val="00BE44FA"/>
    <w:rsid w:val="00C011BE"/>
    <w:rsid w:val="00C02E7E"/>
    <w:rsid w:val="00C46971"/>
    <w:rsid w:val="00C51F23"/>
    <w:rsid w:val="00C74E25"/>
    <w:rsid w:val="00C95808"/>
    <w:rsid w:val="00C961DB"/>
    <w:rsid w:val="00C976A8"/>
    <w:rsid w:val="00CB79B0"/>
    <w:rsid w:val="00CC4C25"/>
    <w:rsid w:val="00CE5CD3"/>
    <w:rsid w:val="00D04C83"/>
    <w:rsid w:val="00D10C73"/>
    <w:rsid w:val="00D379CF"/>
    <w:rsid w:val="00D5681E"/>
    <w:rsid w:val="00D83765"/>
    <w:rsid w:val="00DA5995"/>
    <w:rsid w:val="00E008D3"/>
    <w:rsid w:val="00E04887"/>
    <w:rsid w:val="00E141A1"/>
    <w:rsid w:val="00E50B80"/>
    <w:rsid w:val="00E63E85"/>
    <w:rsid w:val="00E75E09"/>
    <w:rsid w:val="00EC4DB0"/>
    <w:rsid w:val="00F0135B"/>
    <w:rsid w:val="00F53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5"/>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D04C83"/>
    <w:rPr>
      <w:sz w:val="16"/>
      <w:szCs w:val="16"/>
    </w:rPr>
  </w:style>
  <w:style w:type="paragraph" w:styleId="Commentaire">
    <w:name w:val="annotation text"/>
    <w:basedOn w:val="Normal"/>
    <w:link w:val="CommentaireCar"/>
    <w:uiPriority w:val="99"/>
    <w:unhideWhenUsed/>
    <w:rsid w:val="00D04C83"/>
    <w:pPr>
      <w:spacing w:line="240" w:lineRule="auto"/>
    </w:pPr>
    <w:rPr>
      <w:sz w:val="20"/>
      <w:szCs w:val="20"/>
    </w:rPr>
  </w:style>
  <w:style w:type="character" w:customStyle="1" w:styleId="CommentaireCar">
    <w:name w:val="Commentaire Car"/>
    <w:basedOn w:val="Policepardfaut"/>
    <w:link w:val="Commentaire"/>
    <w:uiPriority w:val="99"/>
    <w:rsid w:val="00D04C83"/>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D04C83"/>
    <w:rPr>
      <w:b/>
      <w:bCs/>
    </w:rPr>
  </w:style>
  <w:style w:type="character" w:customStyle="1" w:styleId="ObjetducommentaireCar">
    <w:name w:val="Objet du commentaire Car"/>
    <w:basedOn w:val="CommentaireCar"/>
    <w:link w:val="Objetducommentaire"/>
    <w:uiPriority w:val="99"/>
    <w:semiHidden/>
    <w:rsid w:val="00D04C8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5686">
      <w:bodyDiv w:val="1"/>
      <w:marLeft w:val="0"/>
      <w:marRight w:val="0"/>
      <w:marTop w:val="0"/>
      <w:marBottom w:val="0"/>
      <w:divBdr>
        <w:top w:val="none" w:sz="0" w:space="0" w:color="auto"/>
        <w:left w:val="none" w:sz="0" w:space="0" w:color="auto"/>
        <w:bottom w:val="none" w:sz="0" w:space="0" w:color="auto"/>
        <w:right w:val="none" w:sz="0" w:space="0" w:color="auto"/>
      </w:divBdr>
    </w:div>
    <w:div w:id="360281233">
      <w:bodyDiv w:val="1"/>
      <w:marLeft w:val="0"/>
      <w:marRight w:val="0"/>
      <w:marTop w:val="0"/>
      <w:marBottom w:val="0"/>
      <w:divBdr>
        <w:top w:val="none" w:sz="0" w:space="0" w:color="auto"/>
        <w:left w:val="none" w:sz="0" w:space="0" w:color="auto"/>
        <w:bottom w:val="none" w:sz="0" w:space="0" w:color="auto"/>
        <w:right w:val="none" w:sz="0" w:space="0" w:color="auto"/>
      </w:divBdr>
    </w:div>
    <w:div w:id="656881858">
      <w:bodyDiv w:val="1"/>
      <w:marLeft w:val="0"/>
      <w:marRight w:val="0"/>
      <w:marTop w:val="0"/>
      <w:marBottom w:val="0"/>
      <w:divBdr>
        <w:top w:val="none" w:sz="0" w:space="0" w:color="auto"/>
        <w:left w:val="none" w:sz="0" w:space="0" w:color="auto"/>
        <w:bottom w:val="none" w:sz="0" w:space="0" w:color="auto"/>
        <w:right w:val="none" w:sz="0" w:space="0" w:color="auto"/>
      </w:divBdr>
    </w:div>
    <w:div w:id="806632409">
      <w:bodyDiv w:val="1"/>
      <w:marLeft w:val="0"/>
      <w:marRight w:val="0"/>
      <w:marTop w:val="0"/>
      <w:marBottom w:val="0"/>
      <w:divBdr>
        <w:top w:val="none" w:sz="0" w:space="0" w:color="auto"/>
        <w:left w:val="none" w:sz="0" w:space="0" w:color="auto"/>
        <w:bottom w:val="none" w:sz="0" w:space="0" w:color="auto"/>
        <w:right w:val="none" w:sz="0" w:space="0" w:color="auto"/>
      </w:divBdr>
    </w:div>
    <w:div w:id="1487043857">
      <w:bodyDiv w:val="1"/>
      <w:marLeft w:val="0"/>
      <w:marRight w:val="0"/>
      <w:marTop w:val="0"/>
      <w:marBottom w:val="0"/>
      <w:divBdr>
        <w:top w:val="none" w:sz="0" w:space="0" w:color="auto"/>
        <w:left w:val="none" w:sz="0" w:space="0" w:color="auto"/>
        <w:bottom w:val="none" w:sz="0" w:space="0" w:color="auto"/>
        <w:right w:val="none" w:sz="0" w:space="0" w:color="auto"/>
      </w:divBdr>
    </w:div>
    <w:div w:id="192657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dla.loire-atlantique.fr/detail-dune-notice/notice/946010342-4439" TargetMode="External"/><Relationship Id="rId3" Type="http://schemas.openxmlformats.org/officeDocument/2006/relationships/styles" Target="styles.xml"/><Relationship Id="rId7" Type="http://schemas.openxmlformats.org/officeDocument/2006/relationships/hyperlink" Target="https://bdla.loire-atlantique.fr/detail-dune-notice/notice/945989066-443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dla.loire-atlantique.fr/detail-dune-notice/notice/362050882-443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11</Pages>
  <Words>3197</Words>
  <Characters>17584</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30</cp:revision>
  <dcterms:created xsi:type="dcterms:W3CDTF">2024-07-25T07:41:00Z</dcterms:created>
  <dcterms:modified xsi:type="dcterms:W3CDTF">2025-12-19T10:30:00Z</dcterms:modified>
</cp:coreProperties>
</file>